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6610d8k.htm"/>
      <w:bookmarkStart w:id="1" w:name="ksd1366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001-41742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20-5991472</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950 Tower Lane, Suite 1500,</w:t>
      </w:r>
    </w:p>
    <w:p>
      <w:pPr>
        <w:pStyle w:val="TextBody"/>
        <w:bidi w:val="0"/>
        <w:spacing w:before="0" w:after="0"/>
        <w:jc w:val="center"/>
        <w:rPr>
          <w:rFonts w:ascii="Times New Roman" w:hAnsi="Times New Roman"/>
          <w:b/>
          <w:sz w:val="20"/>
        </w:rPr>
      </w:pPr>
      <w:r>
        <w:rPr>
          <w:rFonts w:ascii="Times New Roman" w:hAnsi="Times New Roman"/>
          <w:b/>
          <w:sz w:val="20"/>
        </w:rPr>
        <w:t>Foster City, California 94404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(650) 561-8600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25" w:type="dxa"/>
        <w:jc w:val="left"/>
        <w:tblInd w:w="0" w:type="dxa"/>
        <w:tblLayout w:type="fixed"/>
        <w:tblCellMar>
          <w:top w:w="0" w:type="dxa"/>
          <w:left w:w="0" w:type="dxa"/>
          <w:bottom w:w="0" w:type="dxa"/>
          <w:right w:w="0" w:type="dxa"/>
        </w:tblCellMar>
      </w:tblPr>
      <w:tblGrid>
        <w:gridCol w:w="5135"/>
        <w:gridCol w:w="60"/>
        <w:gridCol w:w="740"/>
        <w:gridCol w:w="60"/>
        <w:gridCol w:w="2630"/>
      </w:tblGrid>
      <w:tr>
        <w:trPr/>
        <w:tc>
          <w:tcPr>
            <w:tcW w:w="5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Trade</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135" w:type="dxa"/>
            <w:tcBorders/>
            <w:vAlign w:val="center"/>
          </w:tcPr>
          <w:p>
            <w:pPr>
              <w:pStyle w:val="TableContents"/>
              <w:bidi w:val="0"/>
              <w:spacing w:before="0" w:after="283"/>
              <w:jc w:val="center"/>
              <w:rPr/>
            </w:pPr>
            <w:r>
              <w:rPr/>
              <w:t>Series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September 30, 2026, Sagimet Biosciences Inc. (the “</w:t>
      </w:r>
      <w:r>
        <w:rPr>
          <w:rFonts w:ascii="Times New Roman" w:hAnsi="Times New Roman"/>
          <w:sz w:val="20"/>
          <w:u w:val="single"/>
        </w:rPr>
        <w:t>Company</w:t>
      </w:r>
      <w:r>
        <w:rPr>
          <w:rFonts w:ascii="Times New Roman" w:hAnsi="Times New Roman"/>
          <w:sz w:val="20"/>
        </w:rPr>
        <w:t>”) entered into an underwriting agreement (the “</w:t>
      </w:r>
      <w:r>
        <w:rPr>
          <w:rFonts w:ascii="Times New Roman" w:hAnsi="Times New Roman"/>
          <w:sz w:val="20"/>
          <w:u w:val="single"/>
        </w:rPr>
        <w:t>Underwriting Agreement</w:t>
      </w:r>
      <w:r>
        <w:rPr>
          <w:rFonts w:ascii="Times New Roman" w:hAnsi="Times New Roman"/>
          <w:sz w:val="20"/>
        </w:rPr>
        <w:t>”) with Leerink Partners LLC, TD Securities (USA) LLC and Guggenheim Securities, LLC as representatives of the several underwriters named therein (the “</w:t>
      </w:r>
      <w:r>
        <w:rPr>
          <w:rFonts w:ascii="Times New Roman" w:hAnsi="Times New Roman"/>
          <w:sz w:val="20"/>
          <w:u w:val="single"/>
        </w:rPr>
        <w:t>Underwriters</w:t>
      </w:r>
      <w:r>
        <w:rPr>
          <w:rFonts w:ascii="Times New Roman" w:hAnsi="Times New Roman"/>
          <w:sz w:val="20"/>
        </w:rPr>
        <w:t>”) relating to an underwritten offering of (i) 8,750,010 shares (the “</w:t>
      </w:r>
      <w:r>
        <w:rPr>
          <w:rFonts w:ascii="Times New Roman" w:hAnsi="Times New Roman"/>
          <w:sz w:val="20"/>
          <w:u w:val="single"/>
        </w:rPr>
        <w:t>Shares</w:t>
      </w:r>
      <w:r>
        <w:rPr>
          <w:rFonts w:ascii="Times New Roman" w:hAnsi="Times New Roman"/>
          <w:sz w:val="20"/>
        </w:rPr>
        <w:t>”) of the Company’s Series A common stock, par value $0.0001 per share (the “</w:t>
      </w:r>
      <w:r>
        <w:rPr>
          <w:rFonts w:ascii="Times New Roman" w:hAnsi="Times New Roman"/>
          <w:sz w:val="20"/>
          <w:u w:val="single"/>
        </w:rPr>
        <w:t>Common Stock</w:t>
      </w:r>
      <w:r>
        <w:rPr>
          <w:rFonts w:ascii="Times New Roman" w:hAnsi="Times New Roman"/>
          <w:sz w:val="20"/>
        </w:rPr>
        <w:t>”), at an offering price of $10.00 per share, and (ii) pre-funded warrants to purchase up to 2,750,010 shares of Common Stock (the “</w:t>
      </w:r>
      <w:r>
        <w:rPr>
          <w:rFonts w:ascii="Times New Roman" w:hAnsi="Times New Roman"/>
          <w:sz w:val="20"/>
          <w:u w:val="single"/>
        </w:rPr>
        <w:t>Pre-Funded Warrants</w:t>
      </w:r>
      <w:r>
        <w:rPr>
          <w:rFonts w:ascii="Times New Roman" w:hAnsi="Times New Roman"/>
          <w:sz w:val="20"/>
        </w:rPr>
        <w:t>”), at an offering price of $9.9999 per share issuable upon exercise of the Pre-Funded Warrants, which represents the per share offering price for the shares of Common Stock less the $0.0001 per share exercise price for each such Pre-Funded Warrant (the “</w:t>
      </w:r>
      <w:r>
        <w:rPr>
          <w:rFonts w:ascii="Times New Roman" w:hAnsi="Times New Roman"/>
          <w:sz w:val="20"/>
          <w:u w:val="single"/>
        </w:rPr>
        <w:t>Offering</w:t>
      </w:r>
      <w:r>
        <w:rPr>
          <w:rFonts w:ascii="Times New Roman" w:hAnsi="Times New Roman"/>
          <w:sz w:val="20"/>
        </w:rPr>
        <w:t xml:space="preserve">”). The Offering is expected to close on October 1, 2026, subject to the satisfaction of customary closing conditions. All of the Shares and Pre-Funded Warrants in the Offering are being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the Company from the Offering are expected to be $107.5 million, after deducting underwriting discounts and commissions. The Company intends to use the net proceeds from this offering, together with its existing cash, cash equivalents and marketable securities, to fund a Phase 3 clinical trial for denifanstat in acne, pre-launch activities for denifanstat, TVB-3567 through Phase 2 topline results, advancement of its topical formulation FASN inhibitor program to IND submission and for general corporate purposes, including additional clinical development, working capital and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are immediately exercisable, have an exercise price of $0.0001 and may be exercised at any time after the date of issuance. A holder of Pre-Funded Warrants may not exercise the warrant if the holder, together with its affiliates, would beneficially own more than 4.99% (or, at the election of the purchaser, 9.99%) of the number of shares of the Common Stock outstanding immediately after giving effect to such exercise. A holder of Pre-Funded Warrants may increase or decrease this percentage not in excess of 19.99% by providing at least 61 days’ prior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TD Securities (USA) LLC, Guggenheim Securities, LLC and Oppenheimer &amp; Co. Inc. acted as joint book-running managers for the Offering. Canaccord Genuity LLC, H.C. Wainwright &amp; Co., LLC, JonesTrading Institutional Services LLC and Clear Street LLC acted as co-lead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effective shelf registration statement on Form S-3 (Registration No. 333-281582), filed with the Securities and Exchange Commission on August 15, 2024 and declared effective on August 26, 2024.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Underwriting Agreement and the Pre-Funded Warrants are qualified in their entirety by reference to the Underwriting Agreement and Form of Pre-Funded Warrant that are filed as Exhibit 1.1 and Exhibit 4.1 to this Current Report on Form 8-K, respectively, and are incorporated herein by reference. A copy of the legal opinion and consent of Goodwin Procter LLP relating to the legality of the issuance and sale of the Shares and the Pre-Funded Warrants in the Offering is attached as Exhibit 5.1 to this Current Report on Form 8-K.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60"/>
        <w:gridCol w:w="960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0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Document</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1.1</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hyperlink w:anchor="d136610dex11.htm">
              <w:r>
                <w:rPr>
                  <w:rStyle w:val="InternetLink"/>
                </w:rPr>
                <w:t xml:space="preserve">Underwriting Agreement, dated September 30, 2026, by and among the Company and Leerink Partners LLC, TD Securities (USA) LLC and Guggenheim Securities, LLC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4.1</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hyperlink w:anchor="d136610dex41.htm">
              <w:r>
                <w:rPr>
                  <w:rStyle w:val="InternetLink"/>
                </w:rPr>
                <w:t xml:space="preserve">Form of Pre-Funded Warrant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r>
              <w:rPr/>
              <w:t>5.1</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hyperlink w:anchor="d136610dex51.htm">
              <w:r>
                <w:rPr>
                  <w:rStyle w:val="InternetLink"/>
                </w:rPr>
                <w:t xml:space="preserve">Opinion of Goodwin Procter LLP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23.1</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hyperlink w:anchor="d136610dex51.htm">
              <w:r>
                <w:rPr>
                  <w:rStyle w:val="InternetLink"/>
                </w:rPr>
                <w:t xml:space="preserve">Consent of Goodwin Procter LLP (included in Exhibit 5.1)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6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7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30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Sagimet Biosciences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David Happel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36610dex11.htm"/>
      <w:bookmarkStart w:id="3" w:name="ksd136610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Sagimet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Series A Common Stock, par value $0.0001 per share </w:t>
      </w:r>
    </w:p>
    <w:p>
      <w:pPr>
        <w:pStyle w:val="TextBody"/>
        <w:bidi w:val="0"/>
        <w:spacing w:before="120" w:after="0"/>
        <w:jc w:val="center"/>
        <w:rPr>
          <w:rFonts w:ascii="Times New Roman" w:hAnsi="Times New Roman"/>
          <w:b/>
          <w:sz w:val="20"/>
        </w:rPr>
      </w:pPr>
      <w:r>
        <w:rPr>
          <w:rFonts w:ascii="Times New Roman" w:hAnsi="Times New Roman"/>
          <w:b/>
          <w:sz w:val="20"/>
        </w:rPr>
        <w:t xml:space="preserve">Pre-Funded Warrants to Purchase Shares of Series A Common Stock </w:t>
      </w:r>
    </w:p>
    <w:p>
      <w:pPr>
        <w:pStyle w:val="TextBody"/>
        <w:bidi w:val="0"/>
        <w:spacing w:before="120" w:after="0"/>
        <w:jc w:val="center"/>
        <w:rPr>
          <w:rFonts w:ascii="Times New Roman" w:hAnsi="Times New Roman"/>
          <w:b/>
          <w:i/>
          <w:sz w:val="20"/>
          <w:u w:val="single"/>
        </w:rPr>
      </w:pPr>
      <w:r>
        <w:rPr>
          <w:rFonts w:ascii="Times New Roman" w:hAnsi="Times New Roman"/>
          <w:b/>
          <w:i/>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(the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Sagimet Biosciences Inc., a Delaware corporation (the “Company”), proposes, subject to the terms and conditions stated in this agreement (this “Agreement”) and in the manner contemplated by this Agreement, to issue and sell to the several Underwriters named in Schedule I hereto (the “Underwriters”) (i) an aggregate of 8,750,010 shares (the “Shares”) of Series A common stock, par value $0.0001 per share (“Stock”), of the Company and (ii) pre-funded warrants of the Company to purchase an aggregate of 2,750,010 shares of Stock (the “Pre-Funded Warrants”). The Shares and the Pre-Funded Warrants to be sold by the Company are collectively referred to as the “Securities.” As used herein, “Warrant Shares” means the shares of Stock issuable upon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1.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A registration statement on Form S-3 (File No. 333-281582) (the “Initial Registration Statement”) in respect of the Securities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been filed, or transmitted for filing, with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any part thereof or the Rule 462(b) Registration Statement, if any, has been issued and no proceeding for that purpose or pursuant to Section 8A of the Act has been initiated or, to the Company’s knowledge, threatened by the Commission (the base prospectus filed as part of the Initial Registration Statement, in the form in which it has most recently been filed with the Commission on or prior to the date of this Agreement relating to the Securities, is hereinafter called the “Basic Prospectus”); any preliminary prospectus (including any preliminary prospectus supplement) relating to the Securities filed with the Commission pursuant to Rule 424(b) under the Act is hereinafter called a “Preliminary Prospectus”; the various parts of the Initial Registration Statement and the Rule 462(b) Registration Statement, if any, including all exhibits thereto and including any prospectus supplement relating to the Securities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Securities filed with the Commission pursuant to Rule 424(b) under the Act in accordance with Section 5(a) hereof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Securities is hereinafter called an “Issuer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(b) (i) No order preventing or suspending the use of any Preliminary Prospectus or any Issuer Free Writing Prospectus has been issued by the Commission, and (ii)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For the purposes of this Agreement, the “Applicable Time” is 6:15 a.m. Eastern time on the date of this Agreement. The Pricing Prospectus, as supplemented by the information listed on Schedule II(c) hereto, taken together (collectively, the “Pricing Disclosure Package”), as of the Applicable Time, did not, and as of the Time of Delivery (as defined in Section 4(a) of this Agreement) will not, include any untrue statement of a material fact or omit to state any material fact necessary in order to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therein, in the light of the circumstances under which they were made, not misleading; and each Issuer Free Writing Prospectus and each Written Testing-the-Waters Communication does not conflict with the information contained in the Registration Statement, the Pricing Disclosure Package or the Prospectus and each Issuer Free Writing Prospectus, and each Written Testing-the-Waters Communication, as supplemented by and taken together with the Pricing Disclosure Package, as of the Applicable Time, did not, and as of the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The documents incorporated by reference in the Pricing Disclosure Package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any further documents so filed and incorporated by reference in the Pricing Disclosure Package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and no such documents were filed with the Commission since the Commission’s close of business on the business day immediately prior to the date of this Agreement and prior to the execution of this Agreement, except as set forth on Schedule II(b) hereto; </w:t>
      </w:r>
    </w:p>
    <w:p>
      <w:pPr>
        <w:pStyle w:val="TextBody"/>
        <w:bidi w:val="0"/>
        <w:spacing w:before="240" w:after="0"/>
        <w:jc w:val="left"/>
        <w:rPr>
          <w:rFonts w:ascii="Times New Roman" w:hAnsi="Times New Roman"/>
          <w:sz w:val="20"/>
        </w:rPr>
      </w:pPr>
      <w:r>
        <w:rPr>
          <w:rFonts w:ascii="Times New Roman" w:hAnsi="Times New Roman"/>
          <w:sz w:val="20"/>
        </w:rPr>
        <w:t xml:space="preserve">(e) The Registration Statement, at the time it was declared effective, conformed, and the Prospectus and any further amendments or supplements to the Registration Statement and the Prospectus, on their respective filing dates,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the Time of Delivery, contain an untrue statement of a material fact or omit to state a material fact required to be stated therein or necessary to make the statements therein, in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since the date of the latest audited financial statements included or incorporated by reference in the Pricing Disclosure Package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otherwise than as set forth or contemplated in the Pricing Disclosure Package and the Prospectus; and, since the respective dates as of which information is given in the Registration Statement and the Pricing Disclosure Package and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Disclosure Package and the Prospectus or (ii) the issuance, if any, of stock upon conversion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as described in the Pricing Disclosure Package and the Prospectus) or long-term or short-term debt of the Company or (y) any Material Adverse Effect (as defined below); as used in this Agreement, “Material Adverse Effect” shall mean a material adverse change or effect, or any development involving a prospective material adverse change or effect, in or affecting (i) the business, properties, general affairs, management, financial position, stockholders’ equity, prospects or results of operations of the Company or (ii) the ability of the Company to perform its obligations under this Agreement and the Pre-Funded Warrants, including the issuance and sale of the Securities, or to consummate the transactions contemplated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good and marketable title in fee simple to all real property and good and marketable title to all personal property owned by it, in each case free and clear of all liens, encumbrances and defects except such as do not materially affect the value of such property and do not interfere with the use made and proposed to be made of such property by the Company; and any real property and buildings held under lease by the Company is held by the Company under valid, subsisting and enforceable leases with such exceptions as are not material and do not materially interfere with the use made and proposed to be made of such property and buildings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been (i) duly organized and is validly existing and in good standing under the laws of its jurisdiction of organization, with power and authority (corporate and other) to own its properties and conduct its business as described in the Pricing Disclosure Package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 subsidiaries;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an authorized capitalization as set forth in the Pricing Disclosure Package and the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(k) 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duly and validly waived.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and will conform, in all material respects, to the description of the Pre-Funded Warrants contained in the Pricing Disclosure Package and the Prospectus.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other similar rights to subscribe for or purchase the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issue and sale of the Securities and the Warrant Shares and the compliance by the Company with this Agreement and the consummation of the transactions contemplated in this Agreement, the Pre-Funded Warrants and the Pricing Disclosure Package and the Prospectus will not conflict with or result in a breach or violation of any of the terms or provisions of, or constitute a default under, (A) any indenture, mortgage, deed of trust, loan agreement or other agreement or instrument to which the Company is a party or by which the Company is bound or to which any of the property or assets of the Company is subject, except, in the case of this clause (A) for such defaults, breaches, or violations that would not, individually or in the aggregate, reasonably be expected to result in a Material Adverse Effect, (B) the certificate of incorporation or by-laws of the Company, or (C) any statute or any judgment, order, rule or regulation of any court or governmental agency or body having jurisdiction over the Company or any of its properties except, in the case of this clause (C) for such violations that would not, individually or in the aggregate, reasonably be expected to result in a Material Adverse Effect; and no consent, approval, authorization, order, registration or qualification of or with any such court or governmental agency or body is required for the issue and sale of the Securities and the Warrant Shares or the consummation by the Company of the transactions contemplated by this Agreement and the Pre-Funded Warrants, except such as have been obtained under the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Securities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is not (i) in violation of its certificate of incorporation or by-laws,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The statements set forth or incorporated by reference in the Pricing Disclosure Package and the Prospectus under the captions “Description of Capital Stock” and “Description of Securities We Are Offering,” insofar as they purport to constitute a summary of the terms of the Stock and the Pre-Funded Warrants, under the caption “Material U.S. Federal Income Tax Consequences for Non-U.S. Holders” and under the caption “Underwriting,” insofar as they purport to describe the provisions of the laws and documents referred to therein, are accurate, complete and fair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(o) Other than as set forth in the Pricing Disclosure Package and the Prospectus, there are no legal, governmental or regulatory investigations, actions, demands, claims, suits, arbitrations, inquiries or proceedings (“Actions”) pending to which the Company or, to the Company’s knowledge, any officer or director of the Company, is a party or of which any property of the Company or, to the Company’s knowledge, any officer or director of the Company, is the subject which, if determined adversely to the Company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Disclosure Package and the Prospectus that are not so described therein; and there are no statutes, regulations or contracts or other documents that are required under the Act to be filed as exhibits to the Registration Statement or described in the Registration Statement, the Pricing Disclosure Package and the Prospectus that are not so filed as exhibits to the Registration Statement or described in the Registration Statement,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Company is not and, after giving effect to the offering and sale of the Securities and the application of the proceeds thereof as described in the Pricing Disclosure Package and the Prospectus, will not be an “investment company”, as such term is defined in the Investment Company Act of 1940, as amended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(q) At the time of filing the Initial Registration Statement and any post-effective amendment thereto, at the earliest time thereafter that the Company or any offering participant made a bona fide offer (within the meaning of Rule 164(h)(2) under the Act) of the Securities, and at the date hereof, the Company was not and is not an “ineligible issuer,” as defined under Rule 405 under the Act; </w:t>
      </w:r>
    </w:p>
    <w:p>
      <w:pPr>
        <w:pStyle w:val="TextBody"/>
        <w:bidi w:val="0"/>
        <w:spacing w:before="240" w:after="0"/>
        <w:jc w:val="left"/>
        <w:rPr>
          <w:rFonts w:ascii="Times New Roman" w:hAnsi="Times New Roman"/>
          <w:sz w:val="20"/>
        </w:rPr>
      </w:pPr>
      <w:r>
        <w:rPr>
          <w:rFonts w:ascii="Times New Roman" w:hAnsi="Times New Roman"/>
          <w:sz w:val="20"/>
        </w:rPr>
        <w:t xml:space="preserve">(r) Deloitte &amp; Touche LLP and KPMG LLP, who have certified certain financial statements of the Company, are independent public accountants as required by the Act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 The Company maintains a system of internal control over financial reporting (as such term is defined in Rule 13a-15(f) under the Securities Exchange Act of 1934, as amended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(“XBRL”), if any, included or incorporated by reference in the Registration Statement is accurate to the extent required and the Company is not aware of any material weaknesses in its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 Since the date of the latest audited financial statements included or incorporated by reference in the Pricing Disclosure Package and the Prospectus, there has been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(u)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(v)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(w) Neither the Company, nor any director, officer or employee of the Company nor to the knowledge of the Company, any director, officer or employee, agent, affiliate or other person associated with or acting on behalf of the Company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corruption, anti-bribery or related law, statute or regulation (collectively, “Anti-Corruption Laws”); the Company has conducted its business in compliance with Anti-Corruption Laws and have instituted and maintained and will continue to maintain policies and procedures reasonably designed to promote and achieve compliance with such laws and with the representations and warranties contained herein; the Company will not use, directly or indirectly, the proceeds of the offering in furtherance of an offer, payment, promise to pay, or authorization of the payment or giving of money, or anything else of value, to any person in violation of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(x) The operations of the Company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(y) Neither the Company, nor any director, officer or employee of the Company nor, to the knowledge of the Company, any agent, affiliate or other person associated with or acting on behalf of the Company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Securities hereunder, or lend, contribute or otherwise make available such proceeds to any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the Company is not engaged in, nor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has instituted, and maintains, policies and procedures designed to promote and achieve continued compliance with Sanctions; </w:t>
      </w:r>
    </w:p>
    <w:p>
      <w:pPr>
        <w:pStyle w:val="TextBody"/>
        <w:bidi w:val="0"/>
        <w:spacing w:before="240" w:after="0"/>
        <w:jc w:val="left"/>
        <w:rPr>
          <w:rFonts w:ascii="Times New Roman" w:hAnsi="Times New Roman"/>
          <w:sz w:val="20"/>
        </w:rPr>
      </w:pPr>
      <w:r>
        <w:rPr>
          <w:rFonts w:ascii="Times New Roman" w:hAnsi="Times New Roman"/>
          <w:sz w:val="20"/>
        </w:rPr>
        <w:t xml:space="preserve">(z) The Company is not a “covered foreign person,” as that term is defined in 31 C.F.R. § 850.209. The Company does not currently engage, or have plans to engage, directly or indirectly, in a “covered activity,” as that term is defined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(aa) The financial statements included or incorporated by reference in the Registration Statement, the Pricing Disclosure Package and the Prospectus, together with the related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(“GAAP”) applied on a consistent basis throughout the periods involved. The summary financial information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incorporated by reference in the Registration Statement, the Pricing Disclosure Package and the Prospectus present fairly, in all material respects, the information shown therein and have been compiled on a basis consistent with that of the audited financial statements included or incorporated by reference therein. Except as included therein, no historical or pro forma financial statements or supporting schedules are required to be included or incorporated by reference in the Registration Statement, the Pricing Disclosure Package or the Prospectus under the Act or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(bb) From the time of filing of the initial registration statement for its initial public offering through the date hereof, the Company has been and is an “emerging growth company” as defined in Section 2(a)(19) of the Act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(cc) 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(dd) No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which in either case would reasonably be expected to result in a Material Adverse Effect. The Company is not a party to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(ee) The Company has insurance covering its properties, operations, personnel and business, including business interruption insurance, which insurance is in amounts and insures against such losses and risks, that in the Company’s reasonable judgment, are reasonable and ordinary and customary for comparable companies in the same or similar businesses;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240" w:after="0"/>
        <w:jc w:val="left"/>
        <w:rPr>
          <w:rFonts w:ascii="Times New Roman" w:hAnsi="Times New Roman"/>
          <w:sz w:val="20"/>
        </w:rPr>
      </w:pPr>
      <w:r>
        <w:rPr>
          <w:rFonts w:ascii="Times New Roman" w:hAnsi="Times New Roman"/>
          <w:sz w:val="20"/>
        </w:rPr>
        <w:t xml:space="preserve">(ff) Except as described in the Registration Statement, the Pricing Disclosure Package and the Prospectus, the Company: (i) has operated and currently operates its business in compliance in all material respects with all applicable provisions of the Health Care Laws (as defined below) and any other applicable requirements of the Food and Drug Administration (“FDA”), the Department of Health and Human Services and any comparable foreign or other regulatory authority to which it is subject (collectively, the “Applicable Regulatory Authorities”) relating to the ownership, testing, development, manufacture, packaging, processing, use, distribution, storage, import, export or disposal of any of the Company’s product candidates; (ii) has not received any FDA Form 483, written notice of adverse finding, warning letter, untitled letter or other correspondence or written notice from any court or arbitrator or Applicable Regulatory Authority alleging or asserting material non-compliance with (A) any applicable Health Care Laws or (B) or any material licenses, certificates, approvals, clearances, exemptions, registrations, authorizations, permits and supplements or amendments thereto required by any such applicable Health Care Laws (“Regulatory Authorizations”); (iii) possesses all material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written notice of any claim, action, suit, proceeding, hearing, enforcement, investigation, arbitration or other action from any Applicable Regulatory Authorities alleging that any Company product candidate, operation or activity is in material violation of any applicable Health Care Laws or Regulatory Authorizations and has no knowledge that any Applicable Regulatory Authority or any other third party is considering any such claim, litigation, arbitration, action,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investigation or proceeding; (v) has not received written notice that any Applicable Regulatory Authority has taken, is taking or intends to take action to limit, suspend, modify or revoke any material Regulatory Authorizations and has no knowledge that any Applicable Regulatory Authority is considering such action; (vi) has filed, obtained, maintained or submitted all material reports, documents, forms, notices, applications, records, claims, submissions and supplements or amendments as required by any applicable Health Care Laws or Regulatory Authorizations and all such reports, documents, forms, notices, applications, records, claims, submissions and supplements or amendments were materially complete and correct on the date filed (or were materially corrected or supplemented by a subsequent submission); (vii) is not a party to or does not have any ongoing reporting obligations pursuant to any corporate integrity agreements, deferred or non-prosecution agreements, monitoring agreements, consent decrees, settlement orders, plans of correction or similar agreements with or imposed by any Applicable Regulatory Authority; and (viii) along with its employees, officers and directors, and, to the Company’s knowledge, agents, has not been excluded, suspended or debarred from participation in any government health care program or human clinical research or, to the knowledge of the Company, is not subject to a governmental inquiry, investigation, proceeding, or other similar action that could reasonably be expected to result in debarment, suspension, or exclusion. The term “Health Care Laws” means Title XVIII of the Social Security Act, 42 U.S.C. §§ 1395-1395mmm (the Medicare statute); Title XIX of the Social Security Act, 42 U.S.C. §§ 1396-1396w-8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the Physician Payments Sunshine Act, 42 U.S.C. § 1320a-7h; the Exclusion Law, 42 U.S.C. § 1320a-7; HIPAA, as amended by the Health Information Technology for Economic and Clinical Health Act, 42 U.S.C. §§ 17921 et seq.; the Federal Food, Drug, and Cosmetic Act, 21 U.S.C. §§ 301 et seq.; the regulations promulgated pursuant to such laws; and any comparable foreign, federal, state and local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(gg) The Company possesses, and is in compliance with the terms of, all applications, certificates, approvals, clearances, registrations, exemptions, franchises, licenses, permits, consents and other authorizations necessary to conduct its business in the manner described in the Registration Statement, the Pricing Disclosure Package and the Prospectus (collectively, “Licenses”), issued by the appropriate governmental agency or body, except as would not, individually or in the aggregate, reasonably be expected to have a Material Adverse Effect. All Licenses are in full force and effect and the Company is not in violation of any term or conditions of any License, except as would not, individually or in the aggregate, reasonably be expected to have a Material Adverse Effect. The Company has fulfilled and performed all of its material obligations with respect to the Licenses and, to the Company’s knowledge, no event has occurred which allows, or after notice or lapse of time would allow, revocation or termination thereof or results in any other impairment of the rights of the holder of any License, which, in any such case, individually or in the aggregate, would reasonably be expected to have a Material Adverse Effect. The Company has not received any written notice of proceedings relating to the revocation or material modification of any Licenses and no governmental agency or body has taken any action to limit, suspend or revoke any License possessed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(hh) The nonclinical tests and clinical trials, and other studies (collectively, “studies”) being conducted by or on behalf of the Company, that are described in, or the results of which are referred to in, the Registration Statement, the Pricing Disclosure Package or the Prospectus were and, if still pending, are being conducted in all material respects in accordance with all applicable laws and regulations, including, without limitation, the Federal Food, Drug and Cosmetic Act and its implementing regulations at 21 C.F.R. Parts 50, 54, 56, 58 and 312, with the protocols, procedures and controls designed and approved for such studies and with standard medical and scientific research procedures; each description of the results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studies is accurate and complete in all material respects and fairly presents the data derived from such studies, and the Company has no knowledge of any other studies, the results of which reasonably call into question the results described or referred to in the Registration Statement, the Pricing Disclosure Package or the Prospectus; to the Company’s knowledge, Ascletis Bioscience Co. Ltd., or any third party conducting clinical trials of Company’s product candidates, is and has conducted such trials in material compliance with all applicable laws, regulations and protocols and to the Company’s knowledge each description of the results of such trials in the Registration Statement, the Pricing Disclosure Package or the Prospectus is accurate and complete in all material respects and fairly presents the data derived from such trials, and the Company has no knowledge of any other studies, the results of which reasonably call into question the results of such trials described or referred to in the Registration Statement, the Pricing Disclosure Package or the Prospectus; the Company has not received any written notice of, or correspondence from, any Applicable Regulatory Authority requiring the termination, suspension or material modification of any clinical trials currently being conducted or proposed to be conducted by or for the Company, that are described or referred to in the Registration Statement, the Pricing Disclosure Package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(ii) To the Company’s knowledge, the manufacturing facilities and operations of its suppliers with respect to the Company’s product candidates are operated in compliance in all material respects with all applicable statutes, rules, regulations and policies of the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(jj) The Company owns or possesses all pending patent applications and issued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for or used in the conduct, or the proposed conduct, of the business of the Company as described in the Registration Statement, the Pricing Disclosure Package and the Prospectus. All employees or contractors engaged in the development of any Intellectual Property on behalf of the Company have executed an invention assignment agreement whereby such employees or contractors presently assign all of their rights, title and interest in and to such Intellectual Property to the Company, and to the Company’s knowledge no such agreement has been breached or violated. The Company has not received any notice or is otherwise aware of any infringement, misappropriation, or violation of, or conflict with asserted rights of others with respect to any Intellectual Property or of any facts or circumstances that would render any Intellectual Property invalid, unenforceable, or otherwise inadequate to protect the interest of the Company therein. All Intellectual Property owned by the Company and registered with any governmental agency or body has been duly maintained in all material respects in accordance with applicable law, including submission of all necessary filings and payment of fees in accordance with the legal and administrative requirements of the appropriate jurisdictions. The Company has not received any notice that any issued patents within the Intellectual Property are invalid or unenforceable, and is not otherwise aware of any facts or circumstances that would render any issued patents within the Intellectual Property invalid or unenforceable. The Company uses, or has used, commercially reasonable efforts to appropriately maintain all information intended to be maintained as a trade secret. Moreover, all material technical information developed by and belonging to the Company that has not been disclosed in a patent application has been kept confidential and, to the Company’s knowledge, there is no infringement or misappropriation by third parties of any Intellectual Property. All employees or contractors engaged in the development of any material trade secrets on behalf of the Company have executed a confidentiality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(kk) The Company’s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as currently conducted, and are, to the Company’s knowledge, free and clear of all material bugs, errors, defects, Trojan horses, time bombs, malware and other corruptants; the Company has implemented and maintained reasonable controls, policies, procedures, and safeguards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 and protect its material confidential information and the integrity, continuous operation, redundancy and security of all IT Systems and data (including all personal, personally identifiable, sensitive, confidential or regulated data (“Personal Data”)) used in connection with its business, and there have been no breaches, violations, outages or, to the Company’s knowledge, unauthorized uses of or accesses to same, except for those that have been remedied without material cost or liability or the duty to notify any other person, nor any incidents under internal review or investigations relating to the same; the Company is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(ll)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(mm) All United States federal income tax returns of the Company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or as would not reasonably be expected to have a Material Adverse Effect. The Company has filed all other material tax returns that are required to have been filed by them pursuant to applicable foreign, state, local or other law except insofar as the failure to file such returns would not reasonably be expected to result in a Material Adverse Effect, and has paid all taxes due pursuant to such returns or pursuant to any assessment received by the Company, except for such taxes, if any, as are being contested in good faith and as to which adequate reserves have been provided, or as would not reasonably be expected to have a Material Adverse Effect. The charges, accruals and reserves on the books of the Company in respect of any income tax liability for any years not finally determined are adequate to meet any assessments or re-assessments for additional income tax for any years not finally determined, except to the extent of any inadequacy that would not be material. No material tax deficiency has been determined adversely to the Company, nor does the Company have any written notice or knowledge of any material tax deficiency which could reasonably be expected to be determined adversely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(nn) Neither the Company nor any of its controlled affiliates has taken or will take, directly or indirectly, any action designed to or that could reasonably be expected to cause or result in the stabilization or manipulation of the price of any security of the Company in connection with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(oo) 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(pp) 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(rr) The Company has no debt securities or preferred stock rated by any “nationally recognized statistical rating organization,” as defined in Section 3(a)(62) of the Exchange Act; and </w:t>
      </w:r>
    </w:p>
    <w:p>
      <w:pPr>
        <w:pStyle w:val="TextBody"/>
        <w:bidi w:val="0"/>
        <w:spacing w:before="240" w:after="0"/>
        <w:jc w:val="left"/>
        <w:rPr>
          <w:rFonts w:ascii="Times New Roman" w:hAnsi="Times New Roman"/>
          <w:sz w:val="20"/>
        </w:rPr>
      </w:pPr>
      <w:r>
        <w:rPr>
          <w:rFonts w:ascii="Times New Roman" w:hAnsi="Times New Roman"/>
          <w:sz w:val="20"/>
        </w:rPr>
        <w:t xml:space="preserve">(ss) The interactive data in XBRL, if any, included or incorporated by reference in the Pricing Disclosure Package and the Prospectus fairly presents the information called for in all material respects and has been prepared in accordance with the Commission’s rules and guidelines applicable thereto to the extent required. </w:t>
      </w:r>
    </w:p>
    <w:p>
      <w:pPr>
        <w:pStyle w:val="TextBody"/>
        <w:bidi w:val="0"/>
        <w:spacing w:before="240" w:after="0"/>
        <w:jc w:val="left"/>
        <w:rPr>
          <w:rFonts w:ascii="Times New Roman" w:hAnsi="Times New Roman"/>
          <w:sz w:val="20"/>
        </w:rPr>
      </w:pPr>
      <w:r>
        <w:rPr>
          <w:rFonts w:ascii="Times New Roman" w:hAnsi="Times New Roman"/>
          <w:sz w:val="20"/>
        </w:rPr>
        <w:t xml:space="preserve">2. Subject to the terms and conditions herein set forth, the Company agrees to issue and sell to each of the Underwriters, and each of the Underwriters agrees, severally and not jointly, to purchase from the Company, at a purchase price per Share of $9.40 and a purchase price per Pre-Funded Warrant of $9.3999, the number of Shares and Pre-Funded Warrants set forth opposite the name of such Underwriter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3. Upon the authorization by the Representatives of the release of the Securities, the several Underwriters propose to offer the Securities for sale upon the terms and conditions set forth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4. (a)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time and date of such delivery and payment shall be, with respect to the Securities, 9:30 a.m., New York City time, on October 1, 2026 or such other time and date as the Representatives and the Company may agree upon in writing. Such time and date for delivery of the Securities is herein called the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Company and the Representatives shall instruct purchasers of the Pre-Funded Warrants to make payment for the Pre-Funded Warrants at the Time of Delivery to the Company by wire transfer in immediately available funds to the account specified by the Company at a purchase price of $9.9999 per Pre-Funded Warrant, in lieu of payment by the Underwriters for such Pre-Funded Warrants, and the Company shall deliver the Pre-Funded Warrants to such purchasers at the Time of Delivery in definitive form against such payment, in lieu of the Company’s obligation to deliver the Pre-Funded Warrants to the Underwriters; provided that, the Underwriters shall withhold $0.60 per Pre-Funded Warrant with respect to such Pre-Funded Warrants as an offset effected by the Company of its claim for payment by the Underwriters to the Company for the Shares against the Company’s obligation to pay the amount so withheld with respect to such Pre-Funded Warrants to the Underwriters. In the event that any purchaser of the Pre-Funded Warrants fails to make payment to the Company for all or part of the Pre-Funded Warrants on the Closing Date, the Representatives shall either (i) make payment to the Company for such Pre-Funded Warrants at the purchase price of $9.3999 per Pre-Funded Warrant or (ii) elect, by written notice to the Company, to receive Shares at the purchase price of $9.40 per Share, in lieu of all or a portion of such Pre-Funded Warrants contemplated to be sold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documents to be delivered at the Time of Delivery by or on behalf of the parties hereto pursuant to Section 8 hereof, including the cross receipt for the Securities and any additional documents requested by the Underwriters pursuant to Section 8(m) hereof, will be delivered at the offices of Cooley LLP, 3 Embarcadero Center, 20th Floor, San Francisco, CA 94111-4004 (the “Closing Location”), and the Securities will be delivered at the Designated Office, all at the Time of Delivery. A meeting will be held at the Closing Location at 5:00 p.m., New York City time, on the New York Business Day next preceding the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5. The Company agrees with each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(a) To prepare the Prospectus in a form approved by you and to file such Prospectus pursuant to Rule 424(b) under the Act prior to the earlier of (i) the Time of Delivery and (ii)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you, promptly after it receives notice thereof, of the issuance by the Commission of any stop order or of any order preventing or suspending the use of any Preliminary Prospectus or other prospectus in respect of the Securities, of the suspension of the qualification of the Securitiesfor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Securities or suspending any such qualification, to promptly use its best efforts to obtain the withdrawal of such order; </w:t>
      </w:r>
    </w:p>
    <w:p>
      <w:pPr>
        <w:pStyle w:val="TextBody"/>
        <w:bidi w:val="0"/>
        <w:spacing w:before="240" w:after="0"/>
        <w:jc w:val="left"/>
        <w:rPr>
          <w:rFonts w:ascii="Times New Roman" w:hAnsi="Times New Roman"/>
          <w:sz w:val="20"/>
        </w:rPr>
      </w:pPr>
      <w:r>
        <w:rPr>
          <w:rFonts w:ascii="Times New Roman" w:hAnsi="Times New Roman"/>
          <w:sz w:val="20"/>
        </w:rPr>
        <w:t xml:space="preserve">(b) If by the third anniversary (the “Renewal Deadline”) of the initial effective date of the Initial Registration Statement, any of the Securities remain unsold by the Underwriters, the Company will file, if it has not already done so and is eligible to do so, a new shelf registration statement relating to the Securities, in a form satisfactory to you and will use its best efforts to cause such registration statement to be declared effective within 180 days after the Renewal Deadline. The Company will take all other action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Promptly from time to time to take such action as you may reasonably request to qualify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(where not otherwise required) or to file a general consent to service of process in any jurisdiction (where not otherwise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Pricing Disclosure Package and the Prospectus in order to comply with the Act or the Exchange Act, to notify you and, before amending or supplementing the Registration Statement, the Pricing Disclosure Package or the Prospectus, to furnish you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w:t>
      </w:r>
    </w:p>
    <w:p>
      <w:pPr>
        <w:pStyle w:val="TextBody"/>
        <w:bidi w:val="0"/>
        <w:spacing w:before="240" w:after="0"/>
        <w:jc w:val="left"/>
        <w:rPr>
          <w:rFonts w:ascii="Times New Roman" w:hAnsi="Times New Roman"/>
          <w:sz w:val="20"/>
        </w:rPr>
      </w:pPr>
      <w:r>
        <w:rPr>
          <w:rFonts w:ascii="Times New Roman" w:hAnsi="Times New Roman"/>
          <w:sz w:val="20"/>
        </w:rPr>
        <w:t xml:space="preserve">(e) 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 </w:t>
      </w:r>
    </w:p>
    <w:p>
      <w:pPr>
        <w:pStyle w:val="TextBody"/>
        <w:bidi w:val="0"/>
        <w:spacing w:before="240" w:after="0"/>
        <w:jc w:val="left"/>
        <w:rPr>
          <w:rFonts w:ascii="Times New Roman" w:hAnsi="Times New Roman"/>
          <w:sz w:val="20"/>
        </w:rPr>
      </w:pPr>
      <w:r>
        <w:rPr>
          <w:rFonts w:ascii="Times New Roman" w:hAnsi="Times New Roman"/>
          <w:sz w:val="20"/>
        </w:rPr>
        <w:t xml:space="preserve">(f) (i) During the period beginning from the date hereof and continuing to and including the date 45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and Pre-Funded Warrants, including but not limited to any options or warrants to purchase shares of Stock or any securities that are convertible into or exchangeable for, or that represent the right to 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clauses (i) or (ii) above is to be settled by delivery of Stock or such other securities, in cash or otherwise (other than the Shares and Pre-Funded Warrants to be sold hereunder or pursuant to employee stock option plans existing on, or upon the conversion or exchange of convertible or exchangeable securities outstanding as of, the date of this Agreement) or (iii) publicly disclose the intention to do any of the foregoing, in each case, without the prior written consent of Leerink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 LLC and TD Securities (USA) LLC. The foregoing sentence shall not apply to (A) the Shares to be sold hereunder, (B) any shares of Stock issued by the Company upon the exercise of an option or warrant or the conversion of a security outstanding on the date hereof and referred to in the Registration Statement and the Prospectus, (C) any shares of Stock issued or options to purchase Stock granted pursuant to employee benefit or equity incentive plans of the Company referred to in the Registration Statement and the Prospectus, (D) any shares of Stock issued pursuant to any non-employee director stock plan or dividend reinvestment plan referred to in the Registration Statement and the Prospectus, (E) the filing by the Company of a registration statement on Form S-8 or any successor form thereto with respect to the registration of securities to be offered under any employee benefit or equity incentive plans of the Company referred to in the Registration Statement and the Prospectus, or (F) shares of Stock or other securities issued in connection with a transaction that includes a commercial relationship (including strategic alliances, commercial lending relationships, joint ventures and strategic acquisitions), provided that (i) the aggregate number of shares issued pursuant to this clause (F) (on an as-converted or as-exercised basis, as the case may be) shall not exceed five percent (5%) of the total number of outstanding shares of Stock immediately following the issuance and sale of the Shares hereunder and (ii) the recipient of any such shares of Stock or securities issued pursuant to this clause (F) during such period shall enter into an agreement substantially in the form of Annex I hereto; </w:t>
      </w:r>
    </w:p>
    <w:p>
      <w:pPr>
        <w:pStyle w:val="TextBody"/>
        <w:bidi w:val="0"/>
        <w:spacing w:before="240" w:after="0"/>
        <w:jc w:val="left"/>
        <w:rPr>
          <w:rFonts w:ascii="Times New Roman" w:hAnsi="Times New Roman"/>
          <w:sz w:val="20"/>
        </w:rPr>
      </w:pPr>
      <w:r>
        <w:rPr>
          <w:rFonts w:ascii="Times New Roman" w:hAnsi="Times New Roman"/>
          <w:sz w:val="20"/>
        </w:rPr>
        <w:t xml:space="preserve">(g) 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summary financial information of the Company for such quarter in reasonable detail; provided that no reports, documents or other information need to be furnished pursuant to this Section 5(g) to the extent they are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(h) 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provided that no reports, documents or other information need to be furnished pursuant to this Section 5(h) to the extent they are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(i) To use the net proceeds received by it from the sale of the Securities pursuant to this Agreement in the manner specified in the Pricing Disclosure Package and the Prospectus under the caption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(j) To use its best efforts to list, subject to notice of issuance, the Shares and the Warrant Shares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(k) To file with the Commission such information on Form 10-Q or Form 10-K as may be required by Rule 463 under the Act; </w:t>
      </w:r>
    </w:p>
    <w:p>
      <w:pPr>
        <w:pStyle w:val="TextBody"/>
        <w:bidi w:val="0"/>
        <w:spacing w:before="240" w:after="0"/>
        <w:jc w:val="left"/>
        <w:rPr>
          <w:rFonts w:ascii="Times New Roman" w:hAnsi="Times New Roman"/>
          <w:sz w:val="20"/>
        </w:rPr>
      </w:pPr>
      <w:r>
        <w:rPr>
          <w:rFonts w:ascii="Times New Roman" w:hAnsi="Times New Roman"/>
          <w:sz w:val="20"/>
        </w:rPr>
        <w:t xml:space="preserve">(l) 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“License”); provided, however, that the License shall be used solely for the purpose described above, is granted without any fee and may not be assigned or transferred; and </w:t>
      </w:r>
    </w:p>
    <w:p>
      <w:pPr>
        <w:pStyle w:val="TextBody"/>
        <w:bidi w:val="0"/>
        <w:spacing w:before="240" w:after="0"/>
        <w:jc w:val="left"/>
        <w:rPr>
          <w:rFonts w:ascii="Times New Roman" w:hAnsi="Times New Roman"/>
          <w:sz w:val="20"/>
        </w:rPr>
      </w:pPr>
      <w:r>
        <w:rPr>
          <w:rFonts w:ascii="Times New Roman" w:hAnsi="Times New Roman"/>
          <w:sz w:val="20"/>
        </w:rPr>
        <w:t xml:space="preserve">(n) To promptly notify you if the Company ceases to be an Emerging Growth Company at any time prior to the later of (i) completion of the distribution of the Securities within the meaning of the Act and (ii) completion of the Lock-Up Period referred to in Section 5(f) hereof. </w:t>
      </w:r>
    </w:p>
    <w:p>
      <w:pPr>
        <w:pStyle w:val="TextBody"/>
        <w:bidi w:val="0"/>
        <w:spacing w:before="240" w:after="0"/>
        <w:jc w:val="left"/>
        <w:rPr>
          <w:rFonts w:ascii="Times New Roman" w:hAnsi="Times New Roman"/>
          <w:sz w:val="20"/>
        </w:rPr>
      </w:pPr>
      <w:r>
        <w:rPr>
          <w:rFonts w:ascii="Times New Roman" w:hAnsi="Times New Roman"/>
          <w:sz w:val="20"/>
        </w:rPr>
        <w:t xml:space="preserve">(o) The Company shall, at all times while any Pre-Funded Warrants are outstanding, reserve and keep available out of the aggregate of its authorized but unissued and otherwise unreserved Stock, solely for the purpose of enabling it to issue Warrant Shares upon exercise of such Pre-Funded Warrants, the number of Warrant Shares that are initially issuable and deliverable upon the exercise of the then-outstanding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6. (a) 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Schedule II(a) 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Disclosure Package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 Written Testing-the-Waters Communication prepared or authorized by the Company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 </w:t>
      </w:r>
    </w:p>
    <w:p>
      <w:pPr>
        <w:pStyle w:val="TextBody"/>
        <w:bidi w:val="0"/>
        <w:spacing w:before="240" w:after="0"/>
        <w:jc w:val="left"/>
        <w:rPr>
          <w:rFonts w:ascii="Times New Roman" w:hAnsi="Times New Roman"/>
          <w:sz w:val="20"/>
        </w:rPr>
      </w:pPr>
      <w:r>
        <w:rPr>
          <w:rFonts w:ascii="Times New Roman" w:hAnsi="Times New Roman"/>
          <w:sz w:val="20"/>
        </w:rPr>
        <w:t xml:space="preserve">(e) 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 </w:t>
      </w:r>
    </w:p>
    <w:p>
      <w:pPr>
        <w:pStyle w:val="TextBody"/>
        <w:bidi w:val="0"/>
        <w:spacing w:before="240" w:after="0"/>
        <w:jc w:val="left"/>
        <w:rPr>
          <w:rFonts w:ascii="Times New Roman" w:hAnsi="Times New Roman"/>
          <w:sz w:val="20"/>
        </w:rPr>
      </w:pPr>
      <w:r>
        <w:rPr>
          <w:rFonts w:ascii="Times New Roman" w:hAnsi="Times New Roman"/>
          <w:sz w:val="20"/>
        </w:rPr>
        <w:t xml:space="preserve">7. 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5(c) hereof, including the reasonable and documented fees and disbursements of counsel for the Underwriters in connection with such qualification and in connection with the Blue Sky survey; (iv) all fees and expenses in connection with listing the Shares and the Warrant Shares on the Nasdaq Global Market; (v) the filing fees incident to, and the reasonable and documented fees and disbursements of counsel for the Underwriters in connection with, any required review by FINRA of the terms of the sale of the Securities provided, however, that the reasonable and documented fees and disbursements of counsel for the Underwriters related to clauses (iii) and (v) shall not exceed $25,000 in the aggregate; (vi) the cost of preparing stock certificates;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Securities by them, and any advertising expenses connected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8. The obligations of the Underwriters hereunder, as to the Securities to be delivered at the Time of Delivery, shall be subject, in their discretion, to the condition that all representations and warranties and other statements of the Company herein are, at and as of the Applicable Time and the Time of Delivery, true and correct, the condition that the Company shall have performed all of its obligations hereunder theretofore to be performed, and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Disclosure Package, Prospectus or any Issuer Free Writing Prospectus shall have been initiated or, to the Company’s knowledge, threatened by the Commission; and all requests for additional information on the part of the Commission shall have been complied with to your reasonable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Cooley LLP, counsel for the Underwriters, shall have furnished to the Representatives such written opinion and negative assurance letter, dated the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(c) Goodwin Procter LLP, counsel for the Company, shall have furnished to the Representatives their written opinion and negative assurance letter, dated the Time of Delivery, substantially in the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 Goodwin Procter LLP, intellectual property counsel for the Company, shall have furnished to the Representatives their written opinion and negative assurance letter, dated the Time of Delivery, substantially in the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(e) On the date of the Prospectus at a time prior to the execution of this Agreement, on the effective date of any post-effective amendment to the Registration Statement filed subsequent to the date of this Agreement and also at the Time of Delivery, as applicable, Deloitte &amp; Touche LLP and KPMG LLP shall have furnished to the Representatives a letter or letters, dated the respective dates of delivery thereof,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 (i) The Company shall not have sustained since the date of the latest audited financial statements included or incorporated by reference in the Pricing Disclosure Package and the Prospectus any loss or interference with its business from fire, explosion, flood or other calamity, whether or not covered by insurance, or from any labor dispute or court or governmental action, order or decree, otherwise than as set forth or contemplated in the Pricing Disclosure Package and the Prospectus, and (ii) since the respective dates as of which information is given in the Pricing Disclosure Package and the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Disclosure Package and the Prospectus) or long-term debt of the Company or any change or effect, or any development involving a prospective change or effect, in or affecting (x) the business, properties, general affairs, management, financial position, stockholders’ equity or results of operations of the Company, or (y) the ability of the Company to perform its obligations under this Agreement or the Pre-Funded Warrants, including the issuance and sale of the Securities, or to consummate the transactions contemplated in the Pricing Disclosure Package and the Prospectus, the effect of which, in any such case described in clause (i) or (ii), is in the Representatives’ judgment so material and adverse as to make it impracticable or inadvisable to proceed with the public offering or the delivery of the Securities being delivered at the Time of Delivery on the terms and in the manner contemplated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 On or after the Applicable Time there shall not have occurred any of the following: (i) a suspension or material limitation in trading in securities generally on the New York Stock Exchange or on the Nasdaq Global Market; (ii) a suspension or material limitation in trading in the Company’s securities on the Nasdaq Global Market; (iii) a general moratorium on commercial banking activities declared by either Federal, California State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Securities being delivered at the Time of Delivery on the terms and in the manner contemplated in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Shares and the Warrant Shares to be sold at the Time of Delivery shall have been duly listed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obtained and delivered to the Underwriters executed copies of an agreement from each of the Company’s directors and officers, substantially to the effect set forth in Annex I hereof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complied with the provisions of Section 5(d) hereof with respect to the furnishing of prospectuses on the New York Business Day next succeeding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shall have furnished or caused to be furnished to the Representatives at the Time of Delivery certificates of officers of the Company satisfactory to the Representatives as to the accuracy of the representations and warranties of the Company herein at and as of the Time of Delivery, as to the performance by the Company of all of its obligations hereunder to be performed at or prior to the Time of Delivery, as to the matters set forth in subsections (a) and (g) of this Section and as to such other matters as the Representatives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(l) The Company shall have delivered to the Representatives on the date of the Prospectus at a time prior to the execution of this Agreement and at the Time of Delivery a certificate of the Chief Financial Officer of the Company,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Disclosure Package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Disclosure Package or the Prospectus, or any amendment or supplement thereto, or any Issuer Free Writing Prospectus, any road show, or any Testing-the-Waters Communication,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Disclosure Package or the Prospectus, or any amendment or supplement thereto, or any Issuer Free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Disclosure Package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fifth paragraph under the caption “Underwriting,” and the information contained in the thirteenth and fourteenth paragraphs under the caption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reasonable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 </w:t>
      </w:r>
    </w:p>
    <w:p>
      <w:pPr>
        <w:pStyle w:val="TextBody"/>
        <w:bidi w:val="0"/>
        <w:spacing w:before="240" w:after="0"/>
        <w:jc w:val="left"/>
        <w:rPr>
          <w:rFonts w:ascii="Times New Roman" w:hAnsi="Times New Roman"/>
          <w:sz w:val="20"/>
        </w:rPr>
      </w:pPr>
      <w:r>
        <w:rPr>
          <w:rFonts w:ascii="Times New Roman" w:hAnsi="Times New Roman"/>
          <w:sz w:val="20"/>
        </w:rPr>
        <w:t xml:space="preserve">10. (a) If any Underwriter shall default in its obligation to purchase the Securities which it has agreed to purchase hereunder at a Time of Delivery, you may in your discretion arrange for you or another party or other parties to purchase such Securities on the terms contained herein. If within thirty-six hours after such default by any Underwriter you do not arrange for the purchase of such Securities, then the Company shall be entitled to a further period of thirty-six hours within which to procure another party or other parties satisfactory to you to purchase such Securities on such terms. In the event that, within the respective prescribed periods, you notify the Company that you have so arranged for the purchase of such Securities, or the Company notifies you that it has so arranged for the purchase of such Securities, you or the Company shall have the right to postpone the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you and the Company as provided in subsection (a) above, the aggregate number of such Securities which remains unpurchased does not exceed one-eleventh of the aggregate number of all the Securities to be purchased at the Time of Delivery, then the Company shall have the right to require each non-defaulting Underwriter to purchase the number of shares which such Underwriter agreed to purchase hereunder at the Time of Delivery and, in addition, to require each non-defaulting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you and the Company as provided in subsection (a) above, the aggregate number of such Securities which remains unpurchased exceeds one-eleventh of the aggregate number of all the Securities to be purchased at the Time of Delivery, or if the Company shall not exercise the right described in subsection (b) above to require non-defaulting Underwriters to 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broker dealer, affiliate or controlling person of any Underwriter, or the Company, or any officer or director or controlling person of the Company, and shall survive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12. If this Agreement shall be terminated pursuant to Section 10 hereof, the Company shall not then be under any liability to any Underwriter except as provided in Sections 7 and 9 hereof; but, if for any other reason, any Securities are not delivered by or on behalf of the Company as provided herein or the Underwriters decline to purchase the Securities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Securities not so delivered, but the Company shall then be under no further liability to any Underwriter except as provided in Sections 7 and 9 hereof. </w:t>
      </w:r>
    </w:p>
    <w:p>
      <w:pPr>
        <w:pStyle w:val="TextBody"/>
        <w:bidi w:val="0"/>
        <w:spacing w:before="240" w:after="0"/>
        <w:jc w:val="left"/>
        <w:rPr>
          <w:rFonts w:ascii="Times New Roman" w:hAnsi="Times New Roman"/>
          <w:sz w:val="20"/>
        </w:rPr>
      </w:pPr>
      <w:r>
        <w:rPr>
          <w:rFonts w:ascii="Times New Roman" w:hAnsi="Times New Roman"/>
          <w:sz w:val="20"/>
        </w:rPr>
        <w:t xml:space="preserve">13. In all dealings hereunder, the Representatives shall act on behalf of each of the Underwriters, and the parties hereto shall be entitled to act and rely upon any statement, request, notice or agreement on behalf of any Underwriter made or given by you jointly or by the Representatives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(A) if to the Underwriters shall be delivered or sent by mail, electronic mail, telex or facsimile transmission to the Representatives as the representatives in care of (i) Leerink Partners LLC, 1301 Avenue of the Americas, 5th Floor, New York, New York 10019, Attention: Stuart R. Nayman, (ii) TD Securities (USA) LLC, 1 Vanderbilt Avenue, New York, New York 10017, Attention: Head of Equity Capital Markets, with a copy to CIBLegal@tdsecurities.com and (iii) Guggenheim Securities, LLC, 330 Madison Avenue,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York 10017, Fax: (212) 658-9689, Attention: Head of Equity Capital Markets; and (B) if to the Company shall be delivered or sent by mail, telex or facsimile transmission to the address of the Company set forth on the cover of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provided, however, that notices under subsection 5(e) shall be in writing, and if to the Underwriters shall be delivered or sent by mail, telex or facsimile transmission to you as the representatives at (i) Leerink Partners LLC, 1301 Avenue of the Americas, 5th Floor, New York, New York 10019, Attention: Stuart R. Nayman, (ii) TD Securities (USA) LLC, 1 Vanderbilt Avenue, New York, New York 10017, Attention: Head of Equity Capital Markets, with a copy to CIBLegal@tdsecurities.com and (iii) Guggenheim Securities, LLC, 330 Madison Avenue, New York, New York 10017, Fax: (212) 658-9689, Attention: Head of Equity Capital Markets. Any such statements, requests, notices or agreements shall take effect upon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14. 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broker dealer, or affiliate of the Underwriters,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15. Time shall be of the essence of this Agreement. As used herein, the term “business day” shall mean any day when the Commission’s office in Washington, D.C. is open for business. </w:t>
      </w:r>
    </w:p>
    <w:p>
      <w:pPr>
        <w:pStyle w:val="TextBody"/>
        <w:bidi w:val="0"/>
        <w:spacing w:before="240" w:after="0"/>
        <w:jc w:val="left"/>
        <w:rPr>
          <w:rFonts w:ascii="Times New Roman" w:hAnsi="Times New Roman"/>
          <w:sz w:val="20"/>
        </w:rPr>
      </w:pPr>
      <w:r>
        <w:rPr>
          <w:rFonts w:ascii="Times New Roman" w:hAnsi="Times New Roman"/>
          <w:sz w:val="20"/>
        </w:rPr>
        <w:t xml:space="preserve">16. 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17. This Agreement supersedes all prior agreements and understandings (whether written or oral) between the Company and the Underwriters, or any of them, with respect to the subject matter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20. 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pStyle w:val="TextBody"/>
        <w:bidi w:val="0"/>
        <w:spacing w:before="240" w:after="0"/>
        <w:jc w:val="left"/>
        <w:rPr>
          <w:rFonts w:ascii="Times New Roman" w:hAnsi="Times New Roman"/>
          <w:sz w:val="20"/>
        </w:rPr>
      </w:pPr>
      <w:r>
        <w:rPr>
          <w:rFonts w:ascii="Times New Roman" w:hAnsi="Times New Roman"/>
          <w:sz w:val="20"/>
        </w:rPr>
        <w:t xml:space="preserve">22. Recognition of the U.S. Special Resolution Regimes.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section: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Sagimet Biosciences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David Happel</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Joe Civitarese</w:t>
            </w:r>
          </w:p>
        </w:tc>
      </w:tr>
      <w:tr>
        <w:trPr/>
        <w:tc>
          <w:tcPr>
            <w:tcW w:w="69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Joe Civitarese</w:t>
            </w:r>
          </w:p>
        </w:tc>
      </w:tr>
      <w:tr>
        <w:trPr/>
        <w:tc>
          <w:tcPr>
            <w:tcW w:w="69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Sr.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Bill Kadel</w:t>
            </w:r>
          </w:p>
        </w:tc>
      </w:tr>
      <w:tr>
        <w:trPr/>
        <w:tc>
          <w:tcPr>
            <w:tcW w:w="69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Bill Kadel</w:t>
            </w:r>
          </w:p>
        </w:tc>
      </w:tr>
      <w:tr>
        <w:trPr/>
        <w:tc>
          <w:tcPr>
            <w:tcW w:w="69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Burkly</w:t>
            </w:r>
          </w:p>
        </w:tc>
      </w:tr>
      <w:tr>
        <w:trPr/>
        <w:tc>
          <w:tcPr>
            <w:tcW w:w="69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Thomas Burkly</w:t>
            </w:r>
          </w:p>
        </w:tc>
      </w:tr>
      <w:tr>
        <w:trPr/>
        <w:tc>
          <w:tcPr>
            <w:tcW w:w="69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Senior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behalf of each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47"/>
        <w:gridCol w:w="277"/>
        <w:gridCol w:w="85"/>
        <w:gridCol w:w="1408"/>
        <w:gridCol w:w="60"/>
        <w:gridCol w:w="277"/>
        <w:gridCol w:w="99"/>
        <w:gridCol w:w="1639"/>
        <w:gridCol w:w="63"/>
      </w:tblGrid>
      <w:tr>
        <w:trPr/>
        <w:tc>
          <w:tcPr>
            <w:tcW w:w="3847"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77"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Number</w:t>
              <w:br/>
              <w:t>of Shares to</w:t>
              <w:br/>
              <w:t>be Purchased</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Number of</w:t>
              <w:br/>
              <w:t>Pre-Funded</w:t>
              <w:br/>
              <w:t>Warrants to be</w:t>
              <w:br/>
              <w:t>Purchased</w:t>
            </w:r>
          </w:p>
        </w:tc>
        <w:tc>
          <w:tcPr>
            <w:tcW w:w="63"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7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2,800,004</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880,004</w:t>
            </w:r>
          </w:p>
        </w:tc>
        <w:tc>
          <w:tcPr>
            <w:tcW w:w="63" w:type="dxa"/>
            <w:tcBorders/>
            <w:shd w:fill="CCEEFF" w:val="clear"/>
            <w:vAlign w:val="bottom"/>
          </w:tcPr>
          <w:p>
            <w:pPr>
              <w:pStyle w:val="TableContents"/>
              <w:bidi w:val="0"/>
              <w:spacing w:before="0" w:after="283"/>
              <w:jc w:val="left"/>
              <w:rPr/>
            </w:pPr>
            <w:r>
              <w:rPr/>
              <w:t> </w:t>
            </w:r>
          </w:p>
        </w:tc>
      </w:tr>
      <w:tr>
        <w:trPr/>
        <w:tc>
          <w:tcPr>
            <w:tcW w:w="3847"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7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2,625,003</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825,003</w:t>
            </w:r>
          </w:p>
        </w:tc>
        <w:tc>
          <w:tcPr>
            <w:tcW w:w="63"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7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1,400,002</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440,002</w:t>
            </w:r>
          </w:p>
        </w:tc>
        <w:tc>
          <w:tcPr>
            <w:tcW w:w="63" w:type="dxa"/>
            <w:tcBorders/>
            <w:shd w:fill="CCEEFF" w:val="clear"/>
            <w:vAlign w:val="bottom"/>
          </w:tcPr>
          <w:p>
            <w:pPr>
              <w:pStyle w:val="TableContents"/>
              <w:bidi w:val="0"/>
              <w:spacing w:before="0" w:after="283"/>
              <w:jc w:val="left"/>
              <w:rPr/>
            </w:pPr>
            <w:r>
              <w:rPr/>
              <w:t> </w:t>
            </w:r>
          </w:p>
        </w:tc>
      </w:tr>
      <w:tr>
        <w:trPr/>
        <w:tc>
          <w:tcPr>
            <w:tcW w:w="3847"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27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875,001</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275,001</w:t>
            </w:r>
          </w:p>
        </w:tc>
        <w:tc>
          <w:tcPr>
            <w:tcW w:w="63"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Canaccord Genuity LLC</w:t>
            </w:r>
          </w:p>
        </w:tc>
        <w:tc>
          <w:tcPr>
            <w:tcW w:w="27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306,250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96,250</w:t>
            </w:r>
          </w:p>
        </w:tc>
        <w:tc>
          <w:tcPr>
            <w:tcW w:w="63" w:type="dxa"/>
            <w:tcBorders/>
            <w:shd w:fill="CCEEFF" w:val="clear"/>
            <w:vAlign w:val="bottom"/>
          </w:tcPr>
          <w:p>
            <w:pPr>
              <w:pStyle w:val="TableContents"/>
              <w:bidi w:val="0"/>
              <w:spacing w:before="0" w:after="283"/>
              <w:jc w:val="left"/>
              <w:rPr/>
            </w:pPr>
            <w:r>
              <w:rPr/>
              <w:t> </w:t>
            </w:r>
          </w:p>
        </w:tc>
      </w:tr>
      <w:tr>
        <w:trPr/>
        <w:tc>
          <w:tcPr>
            <w:tcW w:w="3847" w:type="dxa"/>
            <w:tcBorders/>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27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262,500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82,500</w:t>
            </w:r>
          </w:p>
        </w:tc>
        <w:tc>
          <w:tcPr>
            <w:tcW w:w="63"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JonesTrading Institutional Services LLC</w:t>
            </w:r>
          </w:p>
        </w:tc>
        <w:tc>
          <w:tcPr>
            <w:tcW w:w="27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262,500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82,500</w:t>
            </w:r>
          </w:p>
        </w:tc>
        <w:tc>
          <w:tcPr>
            <w:tcW w:w="63" w:type="dxa"/>
            <w:tcBorders/>
            <w:shd w:fill="CCEEFF" w:val="clear"/>
            <w:vAlign w:val="bottom"/>
          </w:tcPr>
          <w:p>
            <w:pPr>
              <w:pStyle w:val="TableContents"/>
              <w:bidi w:val="0"/>
              <w:spacing w:before="0" w:after="283"/>
              <w:jc w:val="left"/>
              <w:rPr/>
            </w:pPr>
            <w:r>
              <w:rPr/>
              <w:t> </w:t>
            </w:r>
          </w:p>
        </w:tc>
      </w:tr>
      <w:tr>
        <w:trPr/>
        <w:tc>
          <w:tcPr>
            <w:tcW w:w="3847" w:type="dxa"/>
            <w:tcBorders/>
          </w:tcPr>
          <w:p>
            <w:pPr>
              <w:pStyle w:val="TableContents"/>
              <w:bidi w:val="0"/>
              <w:spacing w:before="0" w:after="0"/>
              <w:jc w:val="left"/>
              <w:rPr>
                <w:rFonts w:ascii="Times New Roman" w:hAnsi="Times New Roman"/>
                <w:sz w:val="20"/>
              </w:rPr>
            </w:pPr>
            <w:r>
              <w:rPr>
                <w:rFonts w:ascii="Times New Roman" w:hAnsi="Times New Roman"/>
                <w:sz w:val="20"/>
              </w:rPr>
              <w:t>Clear Street LLC</w:t>
            </w:r>
          </w:p>
        </w:tc>
        <w:tc>
          <w:tcPr>
            <w:tcW w:w="27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218,750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68,750</w:t>
            </w:r>
          </w:p>
        </w:tc>
        <w:tc>
          <w:tcPr>
            <w:tcW w:w="63" w:type="dxa"/>
            <w:tcBorders/>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8,750,010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2,750,010</w:t>
            </w:r>
          </w:p>
        </w:tc>
        <w:tc>
          <w:tcPr>
            <w:tcW w:w="63" w:type="dxa"/>
            <w:tcBorders/>
            <w:shd w:fill="CCEEFF" w:val="clear"/>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4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6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left"/>
        <w:rPr>
          <w:rFonts w:ascii="Times New Roman" w:hAnsi="Times New Roman"/>
          <w:sz w:val="20"/>
        </w:rPr>
      </w:pPr>
      <w:r>
        <w:rPr>
          <w:rFonts w:ascii="Times New Roman" w:hAnsi="Times New Roman"/>
          <w:sz w:val="20"/>
        </w:rPr>
        <w:t xml:space="preserve">(a) Issuer Free Writing Prospectuses not included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(b) Additional Documents Incorporated by Reference: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(c) Information other than the Pricing Prospectus that comprise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for the Shares is $10.00.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Pre-Funded Warrant is $9.9999.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purchased by the Underwriters is 8,750,010. </w:t>
      </w:r>
    </w:p>
    <w:p>
      <w:pPr>
        <w:pStyle w:val="TextBody"/>
        <w:bidi w:val="0"/>
        <w:spacing w:before="120" w:after="0"/>
        <w:jc w:val="left"/>
        <w:rPr>
          <w:rFonts w:ascii="Times New Roman" w:hAnsi="Times New Roman"/>
          <w:sz w:val="20"/>
        </w:rPr>
      </w:pPr>
      <w:r>
        <w:rPr>
          <w:rFonts w:ascii="Times New Roman" w:hAnsi="Times New Roman"/>
          <w:sz w:val="20"/>
        </w:rPr>
        <w:t xml:space="preserve">The number of Pre-Funded Warrants being sold by the Company is 2,750,010. </w:t>
      </w:r>
    </w:p>
    <w:p>
      <w:pPr>
        <w:pStyle w:val="TextBody"/>
        <w:bidi w:val="0"/>
        <w:spacing w:before="240" w:after="0"/>
        <w:jc w:val="left"/>
        <w:rPr>
          <w:rFonts w:ascii="Times New Roman" w:hAnsi="Times New Roman"/>
          <w:sz w:val="20"/>
        </w:rPr>
      </w:pPr>
      <w:r>
        <w:rPr>
          <w:rFonts w:ascii="Times New Roman" w:hAnsi="Times New Roman"/>
          <w:sz w:val="20"/>
        </w:rPr>
        <w:t xml:space="preserve">(d)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SAGIMET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Re:</w:t>
      </w:r>
      <w:r>
        <w:rPr>
          <w:rFonts w:ascii="Times New Roman" w:hAnsi="Times New Roman"/>
          <w:sz w:val="20"/>
          <w:u w:val="single"/>
        </w:rPr>
        <w:t>Sagimet Biosciences Inc. - 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representatives (the “Representatives”), propose to enter into an underwriting agreement (the “Underwriting Agreement”) on behalf of the several Underwriters named in Schedule I to such agreement (collectively, the “Underwriters”), with Sagimet Biosciences Inc., a Delaware corporation (the “Company”), providing for an offering (the “Offering”) of shares (the “Shares”) of the Series A common stock, par value $0.0001 per share, of the Company (the “Series A Common Stock,” and together with the Series B common stock, par value $0.0001 per share, of the Company (the “Series B Common Stock”), the “Common Stock”) and pre-funded warrants to purchase shares of Series A Common Stock, pursuant to a Registration Statement on Form S-3 (File No. 333-281582) (the “Registration Statement”) filed with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45 days after the date of the final prospectus supplement relating to the Offering (the “Prospectus Supplement”) (such period, the “Lock-Up Period”), the undersigned shall not, and shall not cause or direct any of its affiliates to, (i) offer, sell, contract to sell, pledge, grant any option, right or warrant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without the prior written consent of Leerink Partners LLC and 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(a) Transfer the undersigned’s Lock-Up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one or more </w:t>
            </w:r>
            <w:r>
              <w:rPr>
                <w:rFonts w:ascii="Times New Roman" w:hAnsi="Times New Roman"/>
                <w:i/>
                <w:sz w:val="20"/>
              </w:rPr>
              <w:t>bona fide</w:t>
            </w:r>
            <w:r>
              <w:rPr>
                <w:rFonts w:ascii="Times New Roman" w:hAnsi="Times New Roman"/>
                <w:sz w:val="20"/>
              </w:rPr>
              <w:t xml:space="preserve"> gifts or charitable contributions, or for </w:t>
            </w:r>
            <w:r>
              <w:rPr>
                <w:rFonts w:ascii="Times New Roman" w:hAnsi="Times New Roman"/>
                <w:i/>
                <w:sz w:val="20"/>
              </w:rPr>
              <w:t>bona fide</w:t>
            </w:r>
            <w:r>
              <w:rPr>
                <w:rFonts w:ascii="Times New Roman" w:hAnsi="Times New Roman"/>
                <w:sz w:val="20"/>
              </w:rPr>
              <w:t xml:space="preserve"> estate planning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by will, testamentary document or intestate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corporation, partnership, limited liability company or other entity of which the undersigned and the immediate family of the undersigned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nominee or custodian of a person or entity to whom a disposition or transfer would be permissible under clauses (a)(i) through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such as pursuant to a qualified domestic order, divorce settlement, divorce decree 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from an employee of the Company upon death, disability or termination of employment, in each case, of such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not an officer or director of the Company, in connection with a sale of the undersigned’s shares of Common Stock acquired (A) from the Underwriters in the Offering or (B) in open market transactions after the closing date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the vesting, settlement or exercise of restricted stock units,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supplement relating to the Shares included in the Registration Statement immediately prior to the time the Underwriting Agreement is executed and the Prospectus Supplement, provided that any securities received upon such vesting, settlement, exercise or conversion shall be subject to the terms of this Lock-Up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xi.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otherwise with the prior written consent of Leerink Partners LLC and TD Securities (USA) LLC on behalf of the Underwriters;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Lock-Up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undersigned’s Lock-Up Securities to the Company pursuant to an agreement under which the Company has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the undersigned further agrees that the foregoing provisions shall be equally applicable to any issuer-directed or other Shares the undersigned may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now has, and, except as contemplated by clauses (a) and (d)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shall automatically terminate and the undersigned shall be released from all of his, her or its obligations hereunder upon the earlier of (i) the date on which the Registration Statement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Offering and (iv) October 31, 2026, in the event that the Underwriting Agreement has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8"/>
        <w:gridCol w:w="107"/>
        <w:gridCol w:w="4192"/>
        <w:gridCol w:w="107"/>
        <w:gridCol w:w="193"/>
        <w:gridCol w:w="107"/>
        <w:gridCol w:w="599"/>
        <w:gridCol w:w="107"/>
        <w:gridCol w:w="4195"/>
      </w:tblGrid>
      <w:tr>
        <w:trPr/>
        <w:tc>
          <w:tcPr>
            <w:tcW w:w="59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195"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vAlign w:val="bottom"/>
          </w:tcPr>
          <w:p>
            <w:pPr>
              <w:pStyle w:val="TableContents"/>
              <w:bidi w:val="0"/>
              <w:spacing w:before="0" w:after="283"/>
              <w:jc w:val="left"/>
              <w:rPr>
                <w:b/>
              </w:rPr>
            </w:pPr>
            <w:r>
              <w:rPr>
                <w:b/>
              </w:rPr>
              <w:t>IF AN INDIVIDUAL:</w:t>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01" w:type="dxa"/>
            <w:gridSpan w:val="3"/>
            <w:tcBorders/>
            <w:vAlign w:val="bottom"/>
          </w:tcPr>
          <w:p>
            <w:pPr>
              <w:pStyle w:val="TableContents"/>
              <w:bidi w:val="0"/>
              <w:spacing w:before="0" w:after="283"/>
              <w:jc w:val="left"/>
              <w:rPr>
                <w:b/>
              </w:rPr>
            </w:pPr>
            <w:r>
              <w:rPr>
                <w:b/>
              </w:rPr>
              <w:t>IF AN ENTITY:</w:t>
            </w:r>
          </w:p>
        </w:tc>
      </w:tr>
      <w:tr>
        <w:trPr>
          <w:trHeight w:val="240" w:hRule="atLeast"/>
        </w:trPr>
        <w:tc>
          <w:tcPr>
            <w:tcW w:w="598"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5008" w:type="dxa"/>
            <w:gridSpan w:val="4"/>
            <w:tcBorders/>
            <w:vAlign w:val="center"/>
          </w:tcPr>
          <w:p>
            <w:pPr>
              <w:pStyle w:val="TableContents"/>
              <w:bidi w:val="0"/>
              <w:spacing w:before="0" w:after="283"/>
              <w:jc w:val="left"/>
              <w:rPr>
                <w:sz w:val="4"/>
                <w:szCs w:val="4"/>
              </w:rPr>
            </w:pPr>
            <w:r>
              <w:rPr>
                <w:sz w:val="4"/>
                <w:szCs w:val="4"/>
              </w:rPr>
            </w:r>
          </w:p>
        </w:tc>
      </w:tr>
      <w:tr>
        <w:trPr/>
        <w:tc>
          <w:tcPr>
            <w:tcW w:w="598" w:type="dxa"/>
            <w:tcBorders/>
            <w:vAlign w:val="bottom"/>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01" w:type="dxa"/>
            <w:gridSpan w:val="3"/>
            <w:tcBorders/>
            <w:vAlign w:val="bottom"/>
          </w:tcPr>
          <w:p>
            <w:pPr>
              <w:pStyle w:val="TableContents"/>
              <w:pBdr>
                <w:bottom w:val="single" w:sz="2" w:space="1" w:color="000000"/>
              </w:pBdr>
              <w:bidi w:val="0"/>
              <w:spacing w:before="0" w:after="20"/>
              <w:jc w:val="left"/>
              <w:rPr/>
            </w:pPr>
            <w:r>
              <w:rPr/>
              <w:t> </w:t>
            </w:r>
          </w:p>
        </w:tc>
      </w:tr>
      <w:tr>
        <w:trPr/>
        <w:tc>
          <w:tcPr>
            <w:tcW w:w="5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bidi w:val="0"/>
              <w:spacing w:before="0" w:after="283"/>
              <w:jc w:val="center"/>
              <w:rPr>
                <w:i/>
              </w:rPr>
            </w:pPr>
            <w:r>
              <w:rPr>
                <w:i/>
              </w:rPr>
              <w:t>(duly authorized signature)</w:t>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01" w:type="dxa"/>
            <w:gridSpan w:val="3"/>
            <w:tcBorders/>
            <w:vAlign w:val="bottom"/>
          </w:tcPr>
          <w:p>
            <w:pPr>
              <w:pStyle w:val="TableContents"/>
              <w:bidi w:val="0"/>
              <w:spacing w:before="0" w:after="283"/>
              <w:jc w:val="center"/>
              <w:rPr>
                <w:i/>
              </w:rPr>
            </w:pPr>
            <w:r>
              <w:rPr>
                <w:i/>
              </w:rPr>
              <w:t>(please print complete name of entity)</w:t>
            </w:r>
          </w:p>
        </w:tc>
      </w:tr>
      <w:tr>
        <w:trPr>
          <w:trHeight w:val="240" w:hRule="atLeast"/>
        </w:trPr>
        <w:tc>
          <w:tcPr>
            <w:tcW w:w="598"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300" w:type="dxa"/>
            <w:gridSpan w:val="2"/>
            <w:tcBorders/>
            <w:vAlign w:val="center"/>
          </w:tcPr>
          <w:p>
            <w:pPr>
              <w:pStyle w:val="TableContents"/>
              <w:bidi w:val="0"/>
              <w:spacing w:before="0" w:after="283"/>
              <w:jc w:val="left"/>
              <w:rPr>
                <w:sz w:val="4"/>
                <w:szCs w:val="4"/>
              </w:rPr>
            </w:pPr>
            <w:r>
              <w:rPr>
                <w:sz w:val="4"/>
                <w:szCs w:val="4"/>
              </w:rPr>
            </w:r>
          </w:p>
        </w:tc>
        <w:tc>
          <w:tcPr>
            <w:tcW w:w="706" w:type="dxa"/>
            <w:gridSpan w:val="2"/>
            <w:tcBorders/>
            <w:vAlign w:val="center"/>
          </w:tcPr>
          <w:p>
            <w:pPr>
              <w:pStyle w:val="TableContents"/>
              <w:bidi w:val="0"/>
              <w:spacing w:before="0" w:after="283"/>
              <w:jc w:val="left"/>
              <w:rPr>
                <w:sz w:val="4"/>
                <w:szCs w:val="4"/>
              </w:rPr>
            </w:pPr>
            <w:r>
              <w:rPr>
                <w:sz w:val="4"/>
                <w:szCs w:val="4"/>
              </w:rPr>
            </w:r>
          </w:p>
        </w:tc>
        <w:tc>
          <w:tcPr>
            <w:tcW w:w="4302"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pBdr>
                <w:bottom w:val="single" w:sz="2" w:space="1" w:color="000000"/>
              </w:pBdr>
              <w:bidi w:val="0"/>
              <w:spacing w:before="0" w:after="20"/>
              <w:jc w:val="center"/>
              <w:rPr/>
            </w:pPr>
            <w:r>
              <w:rPr/>
              <w:t> </w:t>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195" w:type="dxa"/>
            <w:tcBorders/>
            <w:vAlign w:val="bottom"/>
          </w:tcPr>
          <w:p>
            <w:pPr>
              <w:pStyle w:val="TableContents"/>
              <w:pBdr>
                <w:bottom w:val="single" w:sz="2" w:space="1" w:color="000000"/>
              </w:pBdr>
              <w:bidi w:val="0"/>
              <w:spacing w:before="0" w:after="20"/>
              <w:jc w:val="center"/>
              <w:rPr/>
            </w:pPr>
            <w:r>
              <w:rPr/>
              <w:t> </w:t>
            </w:r>
          </w:p>
        </w:tc>
      </w:tr>
      <w:tr>
        <w:trPr/>
        <w:tc>
          <w:tcPr>
            <w:tcW w:w="5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bidi w:val="0"/>
              <w:spacing w:before="0" w:after="283"/>
              <w:jc w:val="center"/>
              <w:rPr>
                <w:i/>
              </w:rPr>
            </w:pPr>
            <w:r>
              <w:rPr>
                <w:i/>
              </w:rPr>
              <w:t>(please print full name)</w:t>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5" w:type="dxa"/>
            <w:tcBorders/>
            <w:vAlign w:val="bottom"/>
          </w:tcPr>
          <w:p>
            <w:pPr>
              <w:pStyle w:val="TableContents"/>
              <w:bidi w:val="0"/>
              <w:spacing w:before="0" w:after="283"/>
              <w:jc w:val="center"/>
              <w:rPr>
                <w:i/>
              </w:rPr>
            </w:pPr>
            <w:r>
              <w:rPr>
                <w:i/>
              </w:rPr>
              <w:t>(duly authorized signature)</w:t>
            </w:r>
          </w:p>
        </w:tc>
      </w:tr>
      <w:tr>
        <w:trPr/>
        <w:tc>
          <w:tcPr>
            <w:tcW w:w="5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195" w:type="dxa"/>
            <w:tcBorders/>
            <w:vAlign w:val="bottom"/>
          </w:tcPr>
          <w:p>
            <w:pPr>
              <w:pStyle w:val="TableContents"/>
              <w:pBdr>
                <w:bottom w:val="single" w:sz="2" w:space="1" w:color="000000"/>
              </w:pBdr>
              <w:bidi w:val="0"/>
              <w:spacing w:before="0" w:after="20"/>
              <w:jc w:val="center"/>
              <w:rPr/>
            </w:pPr>
            <w:r>
              <w:rPr/>
              <w:t> </w:t>
            </w:r>
          </w:p>
        </w:tc>
      </w:tr>
      <w:tr>
        <w:trPr/>
        <w:tc>
          <w:tcPr>
            <w:tcW w:w="5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5" w:type="dxa"/>
            <w:tcBorders/>
            <w:vAlign w:val="bottom"/>
          </w:tcPr>
          <w:p>
            <w:pPr>
              <w:pStyle w:val="TableContents"/>
              <w:bidi w:val="0"/>
              <w:spacing w:before="0" w:after="283"/>
              <w:jc w:val="center"/>
              <w:rPr>
                <w:i/>
              </w:rPr>
            </w:pPr>
            <w:r>
              <w:rPr>
                <w:i/>
              </w:rPr>
              <w:t>(please print full name)</w:t>
            </w:r>
          </w:p>
        </w:tc>
      </w:tr>
      <w:tr>
        <w:trPr/>
        <w:tc>
          <w:tcPr>
            <w:tcW w:w="5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195" w:type="dxa"/>
            <w:tcBorders/>
            <w:vAlign w:val="bottom"/>
          </w:tcPr>
          <w:p>
            <w:pPr>
              <w:pStyle w:val="TableContents"/>
              <w:pBdr>
                <w:bottom w:val="single" w:sz="2" w:space="1" w:color="000000"/>
              </w:pBdr>
              <w:bidi w:val="0"/>
              <w:spacing w:before="0" w:after="20"/>
              <w:jc w:val="left"/>
              <w:rPr/>
            </w:pPr>
            <w:r>
              <w:rPr/>
              <w:t> </w:t>
            </w:r>
          </w:p>
        </w:tc>
      </w:tr>
      <w:tr>
        <w:trPr/>
        <w:tc>
          <w:tcPr>
            <w:tcW w:w="598"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95" w:type="dxa"/>
            <w:tcBorders/>
            <w:vAlign w:val="bottom"/>
          </w:tcPr>
          <w:p>
            <w:pPr>
              <w:pStyle w:val="TableContents"/>
              <w:bidi w:val="0"/>
              <w:spacing w:before="0" w:after="283"/>
              <w:jc w:val="center"/>
              <w:rPr>
                <w:i/>
              </w:rPr>
            </w:pPr>
            <w:r>
              <w:rPr>
                <w:i/>
              </w:rPr>
              <w:t>(please print full 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4" w:name="d136610dex41.htm"/>
      <w:bookmarkStart w:id="5" w:name="ksd136610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hAnsi="Times New Roman"/>
          <w:b/>
          <w:i/>
          <w:sz w:val="20"/>
          <w:u w:val="single"/>
        </w:rPr>
        <w:t>www.sec.gov</w:t>
      </w:r>
      <w:r>
        <w:rPr>
          <w:rFonts w:ascii="Times New Roman" w:hAnsi="Times New Roman"/>
          <w:b/>
          <w:i/>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SAGIMET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3"/>
        <w:gridCol w:w="120"/>
        <w:gridCol w:w="5152"/>
      </w:tblGrid>
      <w:tr>
        <w:trPr/>
        <w:tc>
          <w:tcPr>
            <w:tcW w:w="49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2" w:type="dxa"/>
            <w:tcBorders/>
            <w:vAlign w:val="center"/>
          </w:tcPr>
          <w:p>
            <w:pPr>
              <w:pStyle w:val="TableContents"/>
              <w:bidi w:val="0"/>
              <w:spacing w:before="0" w:after="283"/>
              <w:jc w:val="left"/>
              <w:rPr>
                <w:sz w:val="4"/>
                <w:szCs w:val="4"/>
              </w:rPr>
            </w:pPr>
            <w:r>
              <w:rPr>
                <w:sz w:val="4"/>
                <w:szCs w:val="4"/>
              </w:rPr>
            </w:r>
          </w:p>
        </w:tc>
      </w:tr>
      <w:tr>
        <w:trPr/>
        <w:tc>
          <w:tcPr>
            <w:tcW w:w="4933" w:type="dxa"/>
            <w:tcBorders/>
          </w:tcPr>
          <w:p>
            <w:pPr>
              <w:pStyle w:val="TableContents"/>
              <w:bidi w:val="0"/>
              <w:spacing w:before="0" w:after="283"/>
              <w:jc w:val="left"/>
              <w:rPr/>
            </w:pPr>
            <w:r>
              <w:rPr/>
              <w:t>Warrant No. __</w:t>
            </w:r>
          </w:p>
        </w:tc>
        <w:tc>
          <w:tcPr>
            <w:tcW w:w="120" w:type="dxa"/>
            <w:tcBorders/>
            <w:vAlign w:val="bottom"/>
          </w:tcPr>
          <w:p>
            <w:pPr>
              <w:pStyle w:val="TableContents"/>
              <w:bidi w:val="0"/>
              <w:spacing w:before="0" w:after="283"/>
              <w:jc w:val="left"/>
              <w:rPr/>
            </w:pPr>
            <w:r>
              <w:rPr/>
              <w:t>  </w:t>
            </w:r>
          </w:p>
        </w:tc>
        <w:tc>
          <w:tcPr>
            <w:tcW w:w="5152" w:type="dxa"/>
            <w:tcBorders/>
            <w:vAlign w:val="bottom"/>
          </w:tcPr>
          <w:p>
            <w:pPr>
              <w:pStyle w:val="TableContents"/>
              <w:bidi w:val="0"/>
              <w:spacing w:before="0" w:after="283"/>
              <w:jc w:val="right"/>
              <w:rPr/>
            </w:pPr>
            <w:r>
              <w:rPr/>
              <w:t>Original Issue Date: [ ], 2026</w:t>
            </w:r>
          </w:p>
        </w:tc>
      </w:tr>
    </w:tbl>
    <w:p>
      <w:pPr>
        <w:pStyle w:val="TextBody"/>
        <w:bidi w:val="0"/>
        <w:spacing w:before="240" w:after="0"/>
        <w:jc w:val="left"/>
        <w:rPr>
          <w:rFonts w:ascii="Times New Roman" w:hAnsi="Times New Roman"/>
          <w:sz w:val="20"/>
        </w:rPr>
      </w:pPr>
      <w:r>
        <w:rPr>
          <w:rFonts w:ascii="Times New Roman" w:hAnsi="Times New Roman"/>
          <w:sz w:val="20"/>
        </w:rPr>
        <w:t>Sagimet Biosciences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Series A common stock, $0.0001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$0.0001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xml:space="preserve">”), upon surrender of this </w:t>
      </w:r>
      <w:r>
        <w:rPr>
          <w:rFonts w:ascii="Times New Roman" w:hAnsi="Times New Roman"/>
          <w:i/>
          <w:sz w:val="20"/>
        </w:rPr>
        <w:t>Warrant to Purchase Common Stock</w:t>
      </w:r>
      <w:r>
        <w:rPr>
          <w:rFonts w:ascii="Times New Roman" w:hAnsi="Times New Roman"/>
          <w:sz w:val="20"/>
        </w:rPr>
        <w:t xml:space="preserve"> (including any </w:t>
      </w:r>
      <w:r>
        <w:rPr>
          <w:rFonts w:ascii="Times New Roman" w:hAnsi="Times New Roman"/>
          <w:i/>
          <w:sz w:val="20"/>
        </w:rPr>
        <w:t>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xml:space="preserve">”). This Warrant has been issued pursuant to (i) the terms of the Underwriting Agreement, dated September 30, 2026, between the Company and Leerink Partners LLC, TD Securities (USA) LLC and Guggenheim Securities, LLC, as the representatives of the several underwriters named in </w:t>
      </w:r>
      <w:r>
        <w:rPr>
          <w:rFonts w:ascii="Times New Roman" w:hAnsi="Times New Roman"/>
          <w:sz w:val="20"/>
          <w:u w:val="single"/>
        </w:rPr>
        <w:t>Schedule I</w:t>
      </w:r>
      <w:r>
        <w:rPr>
          <w:rFonts w:ascii="Times New Roman" w:hAnsi="Times New Roman"/>
          <w:sz w:val="20"/>
        </w:rPr>
        <w:t xml:space="preserve"> therein, (ii) the Company’s Registration Statement (as defined below) and (iii) the Company’s prospectus supplement dated September 30, 2026 (the “</w:t>
      </w:r>
      <w:r>
        <w:rPr>
          <w:rFonts w:ascii="Times New Roman" w:hAnsi="Times New Roman"/>
          <w:i/>
          <w:sz w:val="20"/>
        </w:rPr>
        <w:t>Prospectus Supplement</w:t>
      </w:r>
      <w:r>
        <w:rPr>
          <w:rFonts w:ascii="Times New Roman" w:hAnsi="Times New Roman"/>
          <w:sz w:val="20"/>
        </w:rPr>
        <w:t xml:space="preserve">”) to the base prospectus contained in the Registration Statement dated August 26, 2024.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with respect to any Person, any other Person that, directly or indirectly through one or more intermediates, controls, is controlled by or is under common control with such Person, as such terms are used in and construed under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Attribution Parties</w:t>
      </w:r>
      <w:r>
        <w:rPr>
          <w:rFonts w:ascii="Times New Roman" w:hAnsi="Times New Roman"/>
          <w:sz w:val="20"/>
        </w:rPr>
        <w:t xml:space="preserve">”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 or any other Attribution Parties for purposes of Section 13(d) or Section 16 of the Exchange Act. For clarity, the purpose of the foregoing is to subject collectively the Holder and all other Attribution Parties to the Maximum Percentage (as defined below).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(formerly OTC Markets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i/>
          <w:sz w:val="20"/>
        </w:rPr>
        <w:t>Commission</w:t>
      </w:r>
      <w:r>
        <w:rPr>
          <w:rFonts w:ascii="Times New Roman" w:hAnsi="Times New Roman"/>
          <w:sz w:val="20"/>
        </w:rPr>
        <w:t xml:space="preserve">” means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Group</w:t>
      </w:r>
      <w:r>
        <w:rPr>
          <w:rFonts w:ascii="Times New Roman" w:hAnsi="Times New Roman"/>
          <w:sz w:val="20"/>
        </w:rPr>
        <w:t xml:space="preserve">” shall have the meaning ascribed to it in Section 13(d) of the Exchange Act, and all related rules, regulations and jurisprudence. </w:t>
      </w:r>
    </w:p>
    <w:p>
      <w:pPr>
        <w:pStyle w:val="TextBody"/>
        <w:bidi w:val="0"/>
        <w:spacing w:before="240" w:after="0"/>
        <w:jc w:val="left"/>
        <w:rPr>
          <w:rFonts w:ascii="Times New Roman" w:hAnsi="Times New Roman"/>
          <w:sz w:val="20"/>
        </w:rPr>
      </w:pPr>
      <w:r>
        <w:rPr>
          <w:rFonts w:ascii="Times New Roman" w:hAnsi="Times New Roman"/>
          <w:sz w:val="20"/>
        </w:rPr>
        <w:t xml:space="preserve">(g) “Person” means an individual, partnership, corporation, limited liability company, business trust, joint stock company, trust, incorporated or unincorporated association, joint venture, government (or an agency or subdivision thereof) or any other entity or organization.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Market.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Registration Statement</w:t>
      </w:r>
      <w:r>
        <w:rPr>
          <w:rFonts w:ascii="Times New Roman" w:hAnsi="Times New Roman"/>
          <w:sz w:val="20"/>
        </w:rPr>
        <w:t xml:space="preserve">” means the Company’s Registration Statement on Form S-3 (File No. 333-281582), declared effective on August 26, 2024.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Securities Act</w:t>
      </w:r>
      <w:r>
        <w:rPr>
          <w:rFonts w:ascii="Times New Roman" w:hAnsi="Times New Roman"/>
          <w:sz w:val="20"/>
        </w:rPr>
        <w:t xml:space="preserve">” means the U.S. Securities Act of 1933, as amended, and all of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i/>
          <w:sz w:val="20"/>
        </w:rPr>
        <w:t>Transfer Agent</w:t>
      </w:r>
      <w:r>
        <w:rPr>
          <w:rFonts w:ascii="Times New Roman" w:hAnsi="Times New Roman"/>
          <w:sz w:val="20"/>
        </w:rPr>
        <w:t xml:space="preserve">” means Equiniti Trust Company, LLC,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in effect on the Original Issue Date.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w:t>
      </w:r>
      <w:r>
        <w:rPr>
          <w:rFonts w:ascii="Times New Roman" w:hAnsi="Times New Roman"/>
          <w:sz w:val="20"/>
          <w:u w:val="single"/>
        </w:rPr>
        <w:t>Section 11</w:t>
      </w:r>
      <w:r>
        <w:rPr>
          <w:rFonts w:ascii="Times New Roman" w:hAnsi="Times New Roman"/>
          <w:sz w:val="20"/>
        </w:rPr>
        <w:t xml:space="preserve">) at any time and from time to time on or after the Original Issue Date, and such rights shall not expire until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i/>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before="240" w:after="0"/>
        <w:jc w:val="left"/>
        <w:rPr>
          <w:rFonts w:ascii="Times New Roman" w:hAnsi="Times New Roman"/>
          <w:sz w:val="20"/>
        </w:rPr>
      </w:pPr>
      <w:r>
        <w:rPr>
          <w:rFonts w:ascii="Times New Roman" w:hAnsi="Times New Roman"/>
          <w:sz w:val="20"/>
        </w:rPr>
        <w:t xml:space="preserve">(c)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i/>
          <w:sz w:val="20"/>
        </w:rPr>
        <w:t>Exercise Shares</w:t>
      </w:r>
      <w:r>
        <w:rPr>
          <w:rFonts w:ascii="Times New Roman" w:hAnsi="Times New Roman"/>
          <w:sz w:val="20"/>
        </w:rPr>
        <w:t>”)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then a participant in the DTC Fast Automated Securities Transfer Program (the “</w:t>
      </w:r>
      <w:r>
        <w:rPr>
          <w:rFonts w:ascii="Times New Roman" w:hAnsi="Times New Roman"/>
          <w:i/>
          <w:sz w:val="20"/>
        </w:rPr>
        <w:t>FAST Program</w:t>
      </w:r>
      <w:r>
        <w:rPr>
          <w:rFonts w:ascii="Times New Roman" w:hAnsi="Times New Roman"/>
          <w:sz w:val="20"/>
        </w:rPr>
        <w:t xml:space="preserve">”)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other rights available to the Holder, if the Company fails to cause the Transfer Agent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but did not receive within the Standard Settlement Period, then the Company shall, within two (2) Trading Days after the Holder’s request and in the Holder’s sole discretion, promptly honor its obligation to deliver to the Holder or its designee the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pursuant to </w:t>
      </w:r>
      <w:r>
        <w:rPr>
          <w:rFonts w:ascii="Times New Roman" w:hAnsi="Times New Roman"/>
          <w:sz w:val="20"/>
          <w:u w:val="single"/>
        </w:rPr>
        <w:t>Section 5(a)</w:t>
      </w:r>
      <w:r>
        <w:rPr>
          <w:rFonts w:ascii="Times New Roman" w:hAnsi="Times New Roman"/>
          <w:sz w:val="20"/>
        </w:rPr>
        <w:t xml:space="preserve"> and pay cash to the Holder in an amount equal to the excess (if any) of Holder’s total purchase price (including commercially reasonable brokerage commissions, if any) for the shares of Common Stock so purchased in the Buy-In (assuming such sale was executed on commercially reasonable terms at prevailing market prices), </w:t>
      </w:r>
      <w:r>
        <w:rPr>
          <w:rFonts w:ascii="Times New Roman" w:hAnsi="Times New Roman"/>
          <w:i/>
          <w:sz w:val="20"/>
        </w:rPr>
        <w:t>less</w:t>
      </w:r>
      <w:r>
        <w:rPr>
          <w:rFonts w:ascii="Times New Roman" w:hAnsi="Times New Roman"/>
          <w:sz w:val="20"/>
        </w:rPr>
        <w:t xml:space="preserve">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(the “Number of Warrant Shares”)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(c)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u w:val="single"/>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 As used in this </w:t>
      </w:r>
      <w:r>
        <w:rPr>
          <w:rFonts w:ascii="Times New Roman" w:hAnsi="Times New Roman"/>
          <w:sz w:val="20"/>
          <w:u w:val="single"/>
        </w:rPr>
        <w:t>Section 9(c)</w:t>
      </w:r>
      <w:r>
        <w:rPr>
          <w:rFonts w:ascii="Times New Roman" w:hAnsi="Times New Roman"/>
          <w:sz w:val="20"/>
        </w:rPr>
        <w:t xml:space="preserve">,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Number of Warrant Shares pursuant to </w:t>
      </w:r>
      <w:r>
        <w:rPr>
          <w:rFonts w:ascii="Times New Roman" w:hAnsi="Times New Roman"/>
          <w:sz w:val="20"/>
          <w:u w:val="single"/>
        </w:rPr>
        <w:t>Section 9</w:t>
      </w:r>
      <w:r>
        <w:rPr>
          <w:rFonts w:ascii="Times New Roman" w:hAnsi="Times New Roman"/>
          <w:sz w:val="20"/>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Section 9(d),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9(h) in confidence until such information is publicly available, and shall comply with applicable law with respect to trading in the Company’s securities following receipt any such information.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240" w:after="0"/>
        <w:jc w:val="center"/>
        <w:rPr>
          <w:rFonts w:ascii="Times New Roman" w:hAnsi="Times New Roman"/>
          <w:sz w:val="20"/>
        </w:rPr>
      </w:pPr>
      <w:r>
        <w:rPr>
          <w:rFonts w:ascii="Times New Roman" w:hAnsi="Times New Roman"/>
          <w:sz w:val="20"/>
        </w:rPr>
        <w:t>X = Y [(A-B)/A]</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(No Fractional Shares), in no event will the exercise of this Warrant be settled in cash.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(or, upon election by a Holder prior to the issuance of any Warrants, 9.99%) (the “Maximum Percentage”)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Paragraph 11(a)</w:t>
      </w:r>
      <w:r>
        <w:rPr>
          <w:rFonts w:ascii="Times New Roman" w:hAnsi="Times New Roman"/>
          <w:sz w:val="20"/>
        </w:rPr>
        <w:t xml:space="preserve">,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Company’s transfer agent setting forth the number of shares of Common Stock outstanding (such issued and outstanding shares, the “Reported Outstanding Share Number”). For any reason at any time, upon the written or oral request of the Holder, the Company shall within two (2) Trading Days confirm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sz w:val="20"/>
          <w:u w:val="single"/>
        </w:rPr>
        <w:t>Section 11(a)</w:t>
      </w:r>
      <w:r>
        <w:rPr>
          <w:rFonts w:ascii="Times New Roman" w:hAnsi="Times New Roman"/>
          <w:sz w:val="20"/>
        </w:rPr>
        <w:t>, to exceed the Maximum Percentage, the Holder must notify the Company of a reduced number of Warrant Shares to be purchased pursuant to such Exercise Notice (the number of shares by which such purchase is reduced, the “Reduction Shares”)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sixty-first (61st) day after such notice is delivered to the Company and shall not negatively affect any partial exercise effected prior to such 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sz w:val="20"/>
          <w:u w:val="single"/>
        </w:rPr>
        <w:t>Section 11</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this </w:t>
      </w:r>
      <w:r>
        <w:rPr>
          <w:rFonts w:ascii="Times New Roman" w:hAnsi="Times New Roman"/>
          <w:sz w:val="20"/>
          <w:u w:val="single"/>
        </w:rPr>
        <w:t>Section 11</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Notices shall be delivered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6"/>
        <w:gridCol w:w="120"/>
        <w:gridCol w:w="8079"/>
      </w:tblGrid>
      <w:tr>
        <w:trPr/>
        <w:tc>
          <w:tcPr>
            <w:tcW w:w="20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79" w:type="dxa"/>
            <w:tcBorders/>
            <w:vAlign w:val="center"/>
          </w:tcPr>
          <w:p>
            <w:pPr>
              <w:pStyle w:val="TableContents"/>
              <w:bidi w:val="0"/>
              <w:spacing w:before="0" w:after="283"/>
              <w:jc w:val="left"/>
              <w:rPr>
                <w:sz w:val="4"/>
                <w:szCs w:val="4"/>
              </w:rPr>
            </w:pPr>
            <w:r>
              <w:rPr>
                <w:sz w:val="4"/>
                <w:szCs w:val="4"/>
              </w:rPr>
            </w:r>
          </w:p>
        </w:tc>
      </w:tr>
      <w:tr>
        <w:trPr/>
        <w:tc>
          <w:tcPr>
            <w:tcW w:w="2006" w:type="dxa"/>
            <w:tcBorders/>
          </w:tcPr>
          <w:p>
            <w:pPr>
              <w:pStyle w:val="TableContents"/>
              <w:bidi w:val="0"/>
              <w:spacing w:before="0" w:after="283"/>
              <w:jc w:val="left"/>
              <w:rPr/>
            </w:pPr>
            <w:r>
              <w:rPr/>
              <w:t>If to the Company:</w:t>
            </w:r>
          </w:p>
        </w:tc>
        <w:tc>
          <w:tcPr>
            <w:tcW w:w="120" w:type="dxa"/>
            <w:tcBorders/>
            <w:vAlign w:val="bottom"/>
          </w:tcPr>
          <w:p>
            <w:pPr>
              <w:pStyle w:val="TableContents"/>
              <w:bidi w:val="0"/>
              <w:spacing w:before="0" w:after="283"/>
              <w:jc w:val="left"/>
              <w:rPr/>
            </w:pPr>
            <w:r>
              <w:rPr/>
              <w:t>  </w:t>
            </w:r>
          </w:p>
        </w:tc>
        <w:tc>
          <w:tcPr>
            <w:tcW w:w="8079" w:type="dxa"/>
            <w:tcBorders/>
          </w:tcPr>
          <w:p>
            <w:pPr>
              <w:pStyle w:val="TableContents"/>
              <w:bidi w:val="0"/>
              <w:spacing w:before="0" w:after="0"/>
              <w:jc w:val="left"/>
              <w:rPr>
                <w:rFonts w:ascii="Times New Roman" w:hAnsi="Times New Roman"/>
                <w:sz w:val="20"/>
              </w:rPr>
            </w:pPr>
            <w:r>
              <w:rPr>
                <w:rFonts w:ascii="Times New Roman" w:hAnsi="Times New Roman"/>
                <w:sz w:val="20"/>
              </w:rPr>
              <w:t>Sagimet Biosciences Inc.</w:t>
            </w:r>
          </w:p>
          <w:p>
            <w:pPr>
              <w:pStyle w:val="TableContents"/>
              <w:bidi w:val="0"/>
              <w:spacing w:before="0" w:after="0"/>
              <w:jc w:val="left"/>
              <w:rPr>
                <w:rFonts w:ascii="Times New Roman" w:hAnsi="Times New Roman"/>
                <w:sz w:val="20"/>
              </w:rPr>
            </w:pPr>
            <w:r>
              <w:rPr>
                <w:rFonts w:ascii="Times New Roman" w:hAnsi="Times New Roman"/>
                <w:sz w:val="20"/>
              </w:rPr>
              <w:t>950 Tower Lane, Suite 1500</w:t>
            </w:r>
          </w:p>
          <w:p>
            <w:pPr>
              <w:pStyle w:val="TableContents"/>
              <w:bidi w:val="0"/>
              <w:spacing w:before="0" w:after="0"/>
              <w:jc w:val="left"/>
              <w:rPr>
                <w:rFonts w:ascii="Times New Roman" w:hAnsi="Times New Roman"/>
                <w:sz w:val="20"/>
              </w:rPr>
            </w:pPr>
            <w:r>
              <w:rPr>
                <w:rFonts w:ascii="Times New Roman" w:hAnsi="Times New Roman"/>
                <w:sz w:val="20"/>
              </w:rPr>
              <w:t>Foster City, CA 94404</w:t>
            </w:r>
          </w:p>
          <w:p>
            <w:pPr>
              <w:pStyle w:val="TableContents"/>
              <w:bidi w:val="0"/>
              <w:spacing w:before="0" w:after="20"/>
              <w:jc w:val="left"/>
              <w:rPr>
                <w:rFonts w:ascii="Times New Roman" w:hAnsi="Times New Roman"/>
                <w:sz w:val="20"/>
              </w:rPr>
            </w:pPr>
            <w:r>
              <w:rPr>
                <w:rFonts w:ascii="Times New Roman" w:hAnsi="Times New Roman"/>
                <w:sz w:val="20"/>
              </w:rPr>
              <w:t>Attn: Chief Executive Officer</w:t>
            </w:r>
          </w:p>
        </w:tc>
      </w:tr>
      <w:tr>
        <w:trPr>
          <w:trHeight w:val="120" w:hRule="atLeast"/>
        </w:trPr>
        <w:tc>
          <w:tcPr>
            <w:tcW w:w="2006" w:type="dxa"/>
            <w:tcBorders/>
            <w:vAlign w:val="center"/>
          </w:tcPr>
          <w:p>
            <w:pPr>
              <w:pStyle w:val="TableContents"/>
              <w:bidi w:val="0"/>
              <w:spacing w:before="0" w:after="283"/>
              <w:jc w:val="left"/>
              <w:rPr>
                <w:sz w:val="4"/>
                <w:szCs w:val="4"/>
              </w:rPr>
            </w:pPr>
            <w:r>
              <w:rPr>
                <w:sz w:val="4"/>
                <w:szCs w:val="4"/>
              </w:rPr>
            </w:r>
          </w:p>
        </w:tc>
        <w:tc>
          <w:tcPr>
            <w:tcW w:w="8199" w:type="dxa"/>
            <w:gridSpan w:val="2"/>
            <w:tcBorders/>
            <w:vAlign w:val="center"/>
          </w:tcPr>
          <w:p>
            <w:pPr>
              <w:pStyle w:val="TableContents"/>
              <w:bidi w:val="0"/>
              <w:spacing w:before="0" w:after="283"/>
              <w:jc w:val="left"/>
              <w:rPr>
                <w:sz w:val="4"/>
                <w:szCs w:val="4"/>
              </w:rPr>
            </w:pPr>
            <w:r>
              <w:rPr>
                <w:sz w:val="4"/>
                <w:szCs w:val="4"/>
              </w:rPr>
            </w:r>
          </w:p>
        </w:tc>
      </w:tr>
      <w:tr>
        <w:trPr/>
        <w:tc>
          <w:tcPr>
            <w:tcW w:w="2006" w:type="dxa"/>
            <w:tcBorders/>
          </w:tcPr>
          <w:p>
            <w:pPr>
              <w:pStyle w:val="TableContents"/>
              <w:bidi w:val="0"/>
              <w:spacing w:before="0" w:after="283"/>
              <w:jc w:val="left"/>
              <w:rPr/>
            </w:pPr>
            <w:r>
              <w:rPr/>
              <w:t>With a copy to:</w:t>
            </w:r>
          </w:p>
        </w:tc>
        <w:tc>
          <w:tcPr>
            <w:tcW w:w="120" w:type="dxa"/>
            <w:tcBorders/>
            <w:vAlign w:val="bottom"/>
          </w:tcPr>
          <w:p>
            <w:pPr>
              <w:pStyle w:val="TableContents"/>
              <w:bidi w:val="0"/>
              <w:spacing w:before="0" w:after="283"/>
              <w:jc w:val="left"/>
              <w:rPr/>
            </w:pPr>
            <w:r>
              <w:rPr/>
              <w:t>  </w:t>
            </w:r>
          </w:p>
        </w:tc>
        <w:tc>
          <w:tcPr>
            <w:tcW w:w="8079"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3025 John F. Kennedy Boulevard, 8th Floor</w:t>
            </w:r>
          </w:p>
          <w:p>
            <w:pPr>
              <w:pStyle w:val="TableContents"/>
              <w:bidi w:val="0"/>
              <w:spacing w:before="0" w:after="0"/>
              <w:jc w:val="left"/>
              <w:rPr>
                <w:rFonts w:ascii="Times New Roman" w:hAnsi="Times New Roman"/>
                <w:sz w:val="20"/>
              </w:rPr>
            </w:pPr>
            <w:r>
              <w:rPr>
                <w:rFonts w:ascii="Times New Roman" w:hAnsi="Times New Roman"/>
                <w:sz w:val="20"/>
              </w:rPr>
              <w:t>Philadelphia, PA 19104</w:t>
            </w:r>
          </w:p>
          <w:p>
            <w:pPr>
              <w:pStyle w:val="TableContents"/>
              <w:bidi w:val="0"/>
              <w:spacing w:before="0" w:after="0"/>
              <w:jc w:val="left"/>
              <w:rPr>
                <w:rFonts w:ascii="Times New Roman" w:hAnsi="Times New Roman"/>
                <w:sz w:val="20"/>
              </w:rPr>
            </w:pPr>
            <w:r>
              <w:rPr>
                <w:rFonts w:ascii="Times New Roman" w:hAnsi="Times New Roman"/>
                <w:sz w:val="20"/>
              </w:rPr>
              <w:t>Attn: Jennifer Porter and Rachael Bushey</w:t>
            </w:r>
          </w:p>
          <w:p>
            <w:pPr>
              <w:pStyle w:val="TableContents"/>
              <w:bidi w:val="0"/>
              <w:spacing w:before="0" w:after="20"/>
              <w:jc w:val="left"/>
              <w:rPr>
                <w:rFonts w:ascii="Times New Roman" w:hAnsi="Times New Roman"/>
                <w:sz w:val="20"/>
              </w:rPr>
            </w:pPr>
            <w:r>
              <w:rPr>
                <w:rFonts w:ascii="Times New Roman" w:hAnsi="Times New Roman"/>
                <w:sz w:val="20"/>
              </w:rPr>
              <w:t>Email: JPorter@goodwinlaw.com and RBushey@goodwinlaw.com</w:t>
            </w:r>
          </w:p>
        </w:tc>
      </w:tr>
      <w:tr>
        <w:trPr>
          <w:trHeight w:val="120" w:hRule="atLeast"/>
        </w:trPr>
        <w:tc>
          <w:tcPr>
            <w:tcW w:w="2006" w:type="dxa"/>
            <w:tcBorders/>
            <w:vAlign w:val="center"/>
          </w:tcPr>
          <w:p>
            <w:pPr>
              <w:pStyle w:val="TableContents"/>
              <w:bidi w:val="0"/>
              <w:spacing w:before="0" w:after="283"/>
              <w:jc w:val="left"/>
              <w:rPr>
                <w:sz w:val="4"/>
                <w:szCs w:val="4"/>
              </w:rPr>
            </w:pPr>
            <w:r>
              <w:rPr>
                <w:sz w:val="4"/>
                <w:szCs w:val="4"/>
              </w:rPr>
            </w:r>
          </w:p>
        </w:tc>
        <w:tc>
          <w:tcPr>
            <w:tcW w:w="8199" w:type="dxa"/>
            <w:gridSpan w:val="2"/>
            <w:tcBorders/>
            <w:vAlign w:val="center"/>
          </w:tcPr>
          <w:p>
            <w:pPr>
              <w:pStyle w:val="TableContents"/>
              <w:bidi w:val="0"/>
              <w:spacing w:before="0" w:after="283"/>
              <w:jc w:val="left"/>
              <w:rPr>
                <w:sz w:val="4"/>
                <w:szCs w:val="4"/>
              </w:rPr>
            </w:pPr>
            <w:r>
              <w:rPr>
                <w:sz w:val="4"/>
                <w:szCs w:val="4"/>
              </w:rPr>
            </w:r>
          </w:p>
        </w:tc>
      </w:tr>
      <w:tr>
        <w:trPr/>
        <w:tc>
          <w:tcPr>
            <w:tcW w:w="2006" w:type="dxa"/>
            <w:tcBorders/>
          </w:tcPr>
          <w:p>
            <w:pPr>
              <w:pStyle w:val="TableContents"/>
              <w:bidi w:val="0"/>
              <w:spacing w:before="0" w:after="283"/>
              <w:jc w:val="left"/>
              <w:rPr/>
            </w:pPr>
            <w:r>
              <w:rPr/>
              <w:t>If to the Holder:</w:t>
            </w:r>
          </w:p>
        </w:tc>
        <w:tc>
          <w:tcPr>
            <w:tcW w:w="120" w:type="dxa"/>
            <w:tcBorders/>
            <w:vAlign w:val="bottom"/>
          </w:tcPr>
          <w:p>
            <w:pPr>
              <w:pStyle w:val="TableContents"/>
              <w:bidi w:val="0"/>
              <w:spacing w:before="0" w:after="283"/>
              <w:jc w:val="left"/>
              <w:rPr/>
            </w:pPr>
            <w:r>
              <w:rPr/>
              <w:t>  </w:t>
            </w:r>
          </w:p>
        </w:tc>
        <w:tc>
          <w:tcPr>
            <w:tcW w:w="8079" w:type="dxa"/>
            <w:tcBorders/>
          </w:tcPr>
          <w:p>
            <w:pPr>
              <w:pStyle w:val="TableContents"/>
              <w:bidi w:val="0"/>
              <w:spacing w:before="0" w:after="283"/>
              <w:jc w:val="left"/>
              <w:rPr/>
            </w:pPr>
            <w:r>
              <w:rPr/>
              <w:t>At such address or other contact information delivered by the Holder to Company or as is on the books and records of the Company.</w:t>
            </w:r>
          </w:p>
        </w:tc>
      </w:tr>
    </w:tbl>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Further Assurances</w:t>
      </w:r>
      <w:r>
        <w:rPr>
          <w:rFonts w:ascii="Times New Roman" w:hAnsi="Times New Roman"/>
          <w:sz w:val="20"/>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SAGIMET BIOSCIENCES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pPr>
            <w:r>
              <w:rPr/>
              <w:t> </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David Happel</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Sagimet Biosciences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Section 10 of the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together with the other Attribution Parties,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6"/>
        <w:gridCol w:w="60"/>
        <w:gridCol w:w="2226"/>
      </w:tblGrid>
      <w:tr>
        <w:trPr/>
        <w:tc>
          <w:tcPr>
            <w:tcW w:w="17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 of Holder:</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24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c>
          <w:tcPr>
            <w:tcW w:w="17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c>
          <w:tcPr>
            <w:tcW w:w="17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2 </w:t>
      </w:r>
    </w:p>
    <w:p>
      <w:pPr>
        <w:pStyle w:val="TextBody"/>
        <w:bidi w:val="0"/>
        <w:spacing w:before="24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center"/>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8"/>
        <w:gridCol w:w="61"/>
        <w:gridCol w:w="23"/>
        <w:gridCol w:w="101"/>
        <w:gridCol w:w="4705"/>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Name: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pPr>
            <w:r>
              <w:rPr/>
              <w:t> </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(Please Print)</w:t>
            </w:r>
          </w:p>
        </w:tc>
      </w:tr>
      <w:tr>
        <w:trPr>
          <w:trHeight w:val="12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Address: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pPr>
            <w:r>
              <w:rPr/>
              <w:t> </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(Please Print)</w:t>
            </w:r>
          </w:p>
        </w:tc>
      </w:tr>
      <w:tr>
        <w:trPr>
          <w:trHeight w:val="12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Phone Number: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pPr>
            <w:r>
              <w:rPr/>
              <w:t> </w:t>
            </w:r>
          </w:p>
        </w:tc>
      </w:tr>
      <w:tr>
        <w:trPr>
          <w:trHeight w:val="12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Email Address: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pPr>
            <w:r>
              <w:rPr/>
              <w:t> </w:t>
            </w:r>
          </w:p>
        </w:tc>
      </w:tr>
      <w:tr>
        <w:trPr>
          <w:trHeight w:val="12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Dated: _______________ __, ______</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sz w:val="4"/>
                <w:szCs w:val="4"/>
              </w:rPr>
            </w:pPr>
            <w:r>
              <w:rPr>
                <w:sz w:val="4"/>
                <w:szCs w:val="4"/>
              </w:rPr>
            </w:r>
          </w:p>
        </w:tc>
      </w:tr>
      <w:tr>
        <w:trPr>
          <w:trHeight w:val="12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Holder’s Signature: </w:t>
            </w:r>
            <w:r>
              <w:rPr>
                <w:u w:val="single"/>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sz w:val="4"/>
                <w:szCs w:val="4"/>
              </w:rPr>
            </w:pPr>
            <w:r>
              <w:rPr>
                <w:sz w:val="4"/>
                <w:szCs w:val="4"/>
              </w:rPr>
            </w:r>
          </w:p>
        </w:tc>
      </w:tr>
      <w:tr>
        <w:trPr>
          <w:trHeight w:val="12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Holder’s Address: </w:t>
            </w:r>
            <w:r>
              <w:rPr>
                <w:u w:val="single"/>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6" w:name="d136610dex51.htm"/>
      <w:bookmarkStart w:id="7" w:name="ksd136610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drawing>
                <wp:inline distT="0" distB="0" distL="0" distR="0">
                  <wp:extent cx="1932940" cy="426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2940" cy="42672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3025 John F Kennedy Blvd</w:t>
            </w:r>
          </w:p>
          <w:p>
            <w:pPr>
              <w:pStyle w:val="TableContents"/>
              <w:bidi w:val="0"/>
              <w:spacing w:before="0" w:after="0"/>
              <w:jc w:val="left"/>
              <w:rPr>
                <w:rFonts w:ascii="Times New Roman" w:hAnsi="Times New Roman"/>
                <w:sz w:val="20"/>
              </w:rPr>
            </w:pPr>
            <w:r>
              <w:rPr>
                <w:rFonts w:ascii="Times New Roman" w:hAnsi="Times New Roman"/>
                <w:sz w:val="20"/>
              </w:rPr>
              <w:t>Philadelphia, PA 19104</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gooodwinlaw.com</w:t>
            </w:r>
          </w:p>
          <w:p>
            <w:pPr>
              <w:pStyle w:val="TableContents"/>
              <w:bidi w:val="0"/>
              <w:spacing w:before="0" w:after="20"/>
              <w:jc w:val="left"/>
              <w:rPr>
                <w:rFonts w:ascii="Times New Roman" w:hAnsi="Times New Roman"/>
                <w:sz w:val="20"/>
              </w:rPr>
            </w:pPr>
            <w:r>
              <w:rPr>
                <w:rFonts w:ascii="Times New Roman" w:hAnsi="Times New Roman"/>
                <w:sz w:val="20"/>
              </w:rPr>
              <w:t>+1 445 207 7800</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Sagimet Biosciences Inc. </w:t>
      </w:r>
    </w:p>
    <w:p>
      <w:pPr>
        <w:pStyle w:val="TextBody"/>
        <w:bidi w:val="0"/>
        <w:spacing w:before="0" w:after="0"/>
        <w:jc w:val="left"/>
        <w:rPr>
          <w:rFonts w:ascii="Times New Roman" w:hAnsi="Times New Roman"/>
          <w:sz w:val="20"/>
        </w:rPr>
      </w:pPr>
      <w:r>
        <w:rPr>
          <w:rFonts w:ascii="Times New Roman" w:hAnsi="Times New Roman"/>
          <w:sz w:val="20"/>
        </w:rPr>
        <w:t xml:space="preserve">950 Tower Lane, Suite 1500 </w:t>
      </w:r>
    </w:p>
    <w:p>
      <w:pPr>
        <w:pStyle w:val="TextBody"/>
        <w:bidi w:val="0"/>
        <w:spacing w:before="0" w:after="0"/>
        <w:jc w:val="left"/>
        <w:rPr>
          <w:rFonts w:ascii="Times New Roman" w:hAnsi="Times New Roman"/>
          <w:sz w:val="20"/>
        </w:rPr>
      </w:pPr>
      <w:r>
        <w:rPr>
          <w:rFonts w:ascii="Times New Roman" w:hAnsi="Times New Roman"/>
          <w:sz w:val="20"/>
        </w:rPr>
        <w:t xml:space="preserve">Foster City, California 94404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(File No. 333-281582) (as amended or supplemented, the “Registration Statement”) filed on August 15, 2024 with the Securities and Exchange Commission (the “Commission”) pursuant to the Securities Act of 1933, as amended (the “Securities Act”), relating to the registration of the offering by Sagimet Biosciences Inc., a Delaware corporation (the “Company”) of up to $300,000,000 of any combination of securities of the types specified therein. The Registration Statement was declared effective by the Commission on August 26, 2024. Reference is made to our opinion letter dated August 15, 2024 and included as Exhibit 5.1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delivering this supplemental opinion letter in connection with the prospectus supplement (the “Prospectus Supplement”) filed on September 30, 2026 by the Company with the Commission pursuant to Rule 424 under the Securities Act. The Prospectus Supplement relates to the offering by the Company of up to (i) 8,750,010 shares (the “Primary Shares”) of Series A common stock, $0.001 par value per share (the “Common Stock”), of the Company, and (ii) pre-funded-warrants (the “Pre-Funded Warrants”) to purchase up to 2,750,010 shares of Common Stock (such shares issuable upon exercise of the Pre-Funded Warrants, the “Pre-Funded Warrant Shares”, and together with the Primary Shares, the “Shares”) covered by the Registration Statement. The Primary Shares and Pre-Funded Warrants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are limited to the Delaware General Corporation Law and, with respect to opinion paragraph 2,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Shares have been duly authorized and, when delivered and paid for in accordance with the terms of the Underwriting Agreement, will be validly issued, fully paid and non-assessable.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23415" cy="426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3415" cy="42672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Sagimet Biosciences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30,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Pre-Funded Warrants have been duly authorized and executed by the Company and, when delivered and paid for in accordance with the terms of the Underwriting Agreement, will be valid and binding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Pre-Funded Warrant Shares were issued today in accordance with the terms of the Pre-Funded Warrants, they would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bankruptcy, insolvency, fraudulent transfer, reorganization, moratorium and other similar laws of general application affecting the rights and remedies of creditors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Business Lawyer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(the “Current Report”) relating to the Primary Shares and Pre-Funded Warrants, which is incorporated by reference in the Registration Statement. We hereby consent to the inclusion of this opinion as Exhibit 5.1 to the Current Report and to the references to our firm under the caption “Legal Matters” in the Prospectus Supplement.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GOODWIN PROCTER </w:t>
            </w:r>
            <w:r>
              <w:rPr>
                <w:sz w:val="20"/>
              </w:rPr>
              <w:t>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30348</Words>
  <Characters>160084</Characters>
  <CharactersWithSpaces>190606</CharactersWithSpaces>
  <Paragraphs>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