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SAGIMET BIOSCIENCES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4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001-41742</w:t>
            </w:r>
          </w:p>
        </w:tc>
        <w:tc>
          <w:tcPr>
            <w:tcW w:w="282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8"/>
              </w:rPr>
              <w:t>20-5991472</w:t>
            </w:r>
          </w:p>
        </w:tc>
      </w:tr>
      <w:tr>
        <w:trPr>
          <w:trHeight w:val="216"/>
        </w:trPr>
        <w:tc>
          <w:tcPr>
            <w:tcW w:w="298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54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282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98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4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282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342"/>
        </w:trPr>
        <w:tc>
          <w:tcPr>
            <w:tcW w:w="2980" w:type="dxa"/>
            <w:vAlign w:val="bottom"/>
          </w:tcPr>
          <w:p>
            <w:pPr>
              <w:spacing w:after="0"/>
              <w:rPr>
                <w:sz w:val="24"/>
                <w:szCs w:val="24"/>
                <w:color w:val="auto"/>
              </w:rPr>
            </w:pPr>
          </w:p>
        </w:tc>
        <w:tc>
          <w:tcPr>
            <w:tcW w:w="5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Sagimet Biosciences Inc.</w:t>
            </w:r>
          </w:p>
        </w:tc>
        <w:tc>
          <w:tcPr>
            <w:tcW w:w="2820" w:type="dxa"/>
            <w:vAlign w:val="bottom"/>
          </w:tcPr>
          <w:p>
            <w:pPr>
              <w:spacing w:after="0"/>
              <w:rPr>
                <w:sz w:val="24"/>
                <w:szCs w:val="24"/>
                <w:color w:val="auto"/>
              </w:rPr>
            </w:pPr>
          </w:p>
        </w:tc>
      </w:tr>
      <w:tr>
        <w:trPr>
          <w:trHeight w:val="216"/>
        </w:trPr>
        <w:tc>
          <w:tcPr>
            <w:tcW w:w="2980" w:type="dxa"/>
            <w:vAlign w:val="bottom"/>
          </w:tcPr>
          <w:p>
            <w:pPr>
              <w:spacing w:after="0"/>
              <w:rPr>
                <w:sz w:val="18"/>
                <w:szCs w:val="18"/>
                <w:color w:val="auto"/>
              </w:rPr>
            </w:pPr>
          </w:p>
        </w:tc>
        <w:tc>
          <w:tcPr>
            <w:tcW w:w="5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155 Bovet Road, Suite 303,</w:t>
            </w:r>
          </w:p>
        </w:tc>
        <w:tc>
          <w:tcPr>
            <w:tcW w:w="282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5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San Mateo, California 94402</w:t>
            </w:r>
          </w:p>
        </w:tc>
        <w:tc>
          <w:tcPr>
            <w:tcW w:w="2820" w:type="dxa"/>
            <w:vAlign w:val="bottom"/>
          </w:tcPr>
          <w:p>
            <w:pPr>
              <w:spacing w:after="0"/>
              <w:rPr>
                <w:sz w:val="18"/>
                <w:szCs w:val="18"/>
                <w:color w:val="auto"/>
              </w:rPr>
            </w:pPr>
          </w:p>
        </w:tc>
      </w:tr>
      <w:tr>
        <w:trPr>
          <w:trHeight w:val="238"/>
        </w:trPr>
        <w:tc>
          <w:tcPr>
            <w:tcW w:w="2980" w:type="dxa"/>
            <w:vAlign w:val="bottom"/>
          </w:tcPr>
          <w:p>
            <w:pPr>
              <w:spacing w:after="0"/>
              <w:rPr>
                <w:sz w:val="20"/>
                <w:szCs w:val="20"/>
                <w:color w:val="auto"/>
              </w:rPr>
            </w:pPr>
          </w:p>
        </w:tc>
        <w:tc>
          <w:tcPr>
            <w:tcW w:w="54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c>
          <w:tcPr>
            <w:tcW w:w="2820" w:type="dxa"/>
            <w:vAlign w:val="bottom"/>
          </w:tcPr>
          <w:p>
            <w:pPr>
              <w:spacing w:after="0"/>
              <w:rPr>
                <w:sz w:val="20"/>
                <w:szCs w:val="20"/>
                <w:color w:val="auto"/>
              </w:rPr>
            </w:pPr>
          </w:p>
        </w:tc>
      </w:tr>
      <w:tr>
        <w:trPr>
          <w:trHeight w:val="342"/>
        </w:trPr>
        <w:tc>
          <w:tcPr>
            <w:tcW w:w="2980" w:type="dxa"/>
            <w:vAlign w:val="bottom"/>
          </w:tcPr>
          <w:p>
            <w:pPr>
              <w:spacing w:after="0"/>
              <w:rPr>
                <w:sz w:val="24"/>
                <w:szCs w:val="24"/>
                <w:color w:val="auto"/>
              </w:rPr>
            </w:pPr>
          </w:p>
        </w:tc>
        <w:tc>
          <w:tcPr>
            <w:tcW w:w="5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(650) 561-8600</w:t>
            </w:r>
          </w:p>
        </w:tc>
        <w:tc>
          <w:tcPr>
            <w:tcW w:w="2820" w:type="dxa"/>
            <w:vAlign w:val="bottom"/>
          </w:tcPr>
          <w:p>
            <w:pPr>
              <w:spacing w:after="0"/>
              <w:rPr>
                <w:sz w:val="24"/>
                <w:szCs w:val="24"/>
                <w:color w:val="auto"/>
              </w:rPr>
            </w:pPr>
          </w:p>
        </w:tc>
      </w:tr>
      <w:tr>
        <w:trPr>
          <w:trHeight w:val="238"/>
        </w:trPr>
        <w:tc>
          <w:tcPr>
            <w:tcW w:w="2980" w:type="dxa"/>
            <w:vAlign w:val="bottom"/>
          </w:tcPr>
          <w:p>
            <w:pPr>
              <w:spacing w:after="0"/>
              <w:rPr>
                <w:sz w:val="20"/>
                <w:szCs w:val="20"/>
                <w:color w:val="auto"/>
              </w:rPr>
            </w:pPr>
          </w:p>
        </w:tc>
        <w:tc>
          <w:tcPr>
            <w:tcW w:w="54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2820" w:type="dxa"/>
            <w:vAlign w:val="bottom"/>
          </w:tcPr>
          <w:p>
            <w:pPr>
              <w:spacing w:after="0"/>
              <w:rPr>
                <w:sz w:val="20"/>
                <w:szCs w:val="20"/>
                <w:color w:val="auto"/>
              </w:rPr>
            </w:pPr>
          </w:p>
        </w:tc>
      </w:tr>
      <w:tr>
        <w:trPr>
          <w:trHeight w:val="342"/>
        </w:trPr>
        <w:tc>
          <w:tcPr>
            <w:tcW w:w="2980" w:type="dxa"/>
            <w:vAlign w:val="bottom"/>
          </w:tcPr>
          <w:p>
            <w:pPr>
              <w:spacing w:after="0"/>
              <w:rPr>
                <w:sz w:val="24"/>
                <w:szCs w:val="24"/>
                <w:color w:val="auto"/>
              </w:rPr>
            </w:pPr>
          </w:p>
        </w:tc>
        <w:tc>
          <w:tcPr>
            <w:tcW w:w="5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820" w:type="dxa"/>
            <w:vAlign w:val="bottom"/>
          </w:tcPr>
          <w:p>
            <w:pPr>
              <w:spacing w:after="0"/>
              <w:rPr>
                <w:sz w:val="24"/>
                <w:szCs w:val="24"/>
                <w:color w:val="auto"/>
              </w:rPr>
            </w:pPr>
          </w:p>
        </w:tc>
      </w:tr>
      <w:tr>
        <w:trPr>
          <w:trHeight w:val="238"/>
        </w:trPr>
        <w:tc>
          <w:tcPr>
            <w:tcW w:w="2980" w:type="dxa"/>
            <w:vAlign w:val="bottom"/>
          </w:tcPr>
          <w:p>
            <w:pPr>
              <w:spacing w:after="0"/>
              <w:rPr>
                <w:sz w:val="20"/>
                <w:szCs w:val="20"/>
                <w:color w:val="auto"/>
              </w:rPr>
            </w:pPr>
          </w:p>
        </w:tc>
        <w:tc>
          <w:tcPr>
            <w:tcW w:w="5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2820" w:type="dxa"/>
            <w:vAlign w:val="bottom"/>
          </w:tcPr>
          <w:p>
            <w:pPr>
              <w:spacing w:after="0"/>
              <w:rPr>
                <w:sz w:val="20"/>
                <w:szCs w:val="20"/>
                <w:color w:val="auto"/>
              </w:rPr>
            </w:pPr>
          </w:p>
        </w:tc>
      </w:tr>
      <w:tr>
        <w:trPr>
          <w:trHeight w:val="202"/>
        </w:trPr>
        <w:tc>
          <w:tcPr>
            <w:tcW w:w="2980" w:type="dxa"/>
            <w:vAlign w:val="bottom"/>
            <w:tcBorders>
              <w:bottom w:val="single" w:sz="8" w:color="auto"/>
            </w:tcBorders>
          </w:tcPr>
          <w:p>
            <w:pPr>
              <w:spacing w:after="0"/>
              <w:rPr>
                <w:sz w:val="17"/>
                <w:szCs w:val="17"/>
                <w:color w:val="auto"/>
              </w:rPr>
            </w:pPr>
          </w:p>
        </w:tc>
        <w:tc>
          <w:tcPr>
            <w:tcW w:w="544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tcPr>
          <w:p>
            <w:pPr>
              <w:spacing w:after="0"/>
              <w:rPr>
                <w:sz w:val="17"/>
                <w:szCs w:val="17"/>
                <w:color w:val="auto"/>
              </w:rPr>
            </w:pPr>
          </w:p>
        </w:tc>
      </w:tr>
    </w:tbl>
    <w:p>
      <w:pPr>
        <w:spacing w:after="0" w:line="27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right="2860" w:firstLine="8"/>
        <w:spacing w:after="0" w:line="422" w:lineRule="auto"/>
        <w:tabs>
          <w:tab w:leader="none" w:pos="33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320" w:type="dxa"/>
        <w:tblCellMar>
          <w:top w:w="0" w:type="dxa"/>
          <w:left w:w="0" w:type="dxa"/>
          <w:bottom w:w="0" w:type="dxa"/>
          <w:right w:w="0" w:type="dxa"/>
        </w:tblCellMar>
      </w:tblPr>
      <w:tr>
        <w:trPr>
          <w:trHeight w:val="195"/>
        </w:trPr>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Borders>
              <w:bottom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Trade</w:t>
            </w:r>
          </w:p>
        </w:tc>
        <w:tc>
          <w:tcPr>
            <w:tcW w:w="1560" w:type="dxa"/>
            <w:vAlign w:val="bottom"/>
            <w:gridSpan w:val="2"/>
          </w:tcPr>
          <w:p>
            <w:pPr>
              <w:spacing w:after="0"/>
              <w:rPr>
                <w:sz w:val="16"/>
                <w:szCs w:val="16"/>
                <w:color w:val="auto"/>
              </w:rPr>
            </w:pPr>
          </w:p>
        </w:tc>
        <w:tc>
          <w:tcPr>
            <w:tcW w:w="3200" w:type="dxa"/>
            <w:vAlign w:val="bottom"/>
          </w:tcPr>
          <w:p>
            <w:pPr>
              <w:spacing w:after="0"/>
              <w:rPr>
                <w:sz w:val="16"/>
                <w:szCs w:val="16"/>
                <w:color w:val="auto"/>
              </w:rPr>
            </w:pPr>
          </w:p>
        </w:tc>
      </w:tr>
      <w:tr>
        <w:trPr>
          <w:trHeight w:val="196"/>
        </w:trPr>
        <w:tc>
          <w:tcPr>
            <w:tcW w:w="1280" w:type="dxa"/>
            <w:vAlign w:val="bottom"/>
          </w:tcPr>
          <w:p>
            <w:pPr>
              <w:spacing w:after="0"/>
              <w:rPr>
                <w:sz w:val="17"/>
                <w:szCs w:val="17"/>
                <w:color w:val="auto"/>
              </w:rPr>
            </w:pPr>
          </w:p>
        </w:tc>
        <w:tc>
          <w:tcPr>
            <w:tcW w:w="3660" w:type="dxa"/>
            <w:vAlign w:val="bottom"/>
            <w:gridSpan w:val="2"/>
          </w:tcPr>
          <w:p>
            <w:pPr>
              <w:jc w:val="center"/>
              <w:ind w:right="2360"/>
              <w:spacing w:after="0" w:line="196"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tcBorders>
              <w:bottom w:val="single" w:sz="8" w:color="auto"/>
            </w:tcBorders>
            <w:gridSpan w:val="4"/>
          </w:tcPr>
          <w:p>
            <w:pPr>
              <w:jc w:val="center"/>
              <w:ind w:right="1400"/>
              <w:spacing w:after="0" w:line="196" w:lineRule="exact"/>
              <w:rPr>
                <w:sz w:val="20"/>
                <w:szCs w:val="20"/>
                <w:color w:val="auto"/>
              </w:rPr>
            </w:pPr>
            <w:r>
              <w:rPr>
                <w:rFonts w:ascii="Times New Roman" w:cs="Times New Roman" w:eastAsia="Times New Roman" w:hAnsi="Times New Roman"/>
                <w:sz w:val="18"/>
                <w:szCs w:val="18"/>
                <w:color w:val="auto"/>
                <w:w w:val="98"/>
              </w:rPr>
              <w:t>Symbol(s)</w:t>
            </w:r>
          </w:p>
        </w:tc>
        <w:tc>
          <w:tcPr>
            <w:tcW w:w="320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7"/>
        </w:trPr>
        <w:tc>
          <w:tcPr>
            <w:tcW w:w="49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color w:val="auto"/>
                <w:w w:val="99"/>
              </w:rPr>
              <w:t>Series A Common Stock, $0.0001 par value per share</w:t>
            </w:r>
          </w:p>
        </w:tc>
        <w:tc>
          <w:tcPr>
            <w:tcW w:w="2140" w:type="dxa"/>
            <w:vAlign w:val="bottom"/>
            <w:gridSpan w:val="4"/>
          </w:tcPr>
          <w:p>
            <w:pPr>
              <w:jc w:val="center"/>
              <w:ind w:right="1400"/>
              <w:spacing w:after="0"/>
              <w:rPr>
                <w:sz w:val="20"/>
                <w:szCs w:val="20"/>
                <w:color w:val="auto"/>
              </w:rPr>
            </w:pPr>
            <w:r>
              <w:rPr>
                <w:rFonts w:ascii="Times New Roman" w:cs="Times New Roman" w:eastAsia="Times New Roman" w:hAnsi="Times New Roman"/>
                <w:sz w:val="18"/>
                <w:szCs w:val="18"/>
                <w:color w:val="auto"/>
                <w:w w:val="99"/>
              </w:rPr>
              <w:t>SGMT</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30"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84" w:right="339" w:bottom="1440" w:gutter="0" w:footer="0" w:header="0"/>
        </w:sectPr>
      </w:pPr>
    </w:p>
    <w:bookmarkStart w:id="1" w:name="page2"/>
    <w:bookmarkEnd w:id="1"/>
    <w:p>
      <w:pPr>
        <w:ind w:left="980" w:right="100" w:hanging="979"/>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On May 28, 2026 (the “Grant Date”), the Compensation Committee (the “Compensation Committee”) of the Board of Directors (the “Board”) of Sagimet Biosciences Inc. (the “Company”) and the Board, as applicable, granted options (the “Options”) to purchase shares of the Company’s Series A common stock, par value $0.0001 per share (the “Common Stock”), and performance-based restricted stock units (“PSUs”) to David Happel, the Company’s President and Chief Executive Officer, Thierry Chauche, the Company’s Chief Financial Officer, and Elizabeth Rozek, Esq., the Company’s Chief Legal and Administrative Officer (the “Officers”). Mr. Happel was awarded 300,000 options and 300,000 PSUs, Mr. Chauche was awarded 50,000 options and 50,000 PSUs and Ms. Rozek was awarded 100,000 options and 100,000 PSUs. Each of the Options and PSUs were granted under the Company’s 2023 Stock Option and Incentive Plan.</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Each Option has an exercise price of $7.27 per share, which is equal to the closing stock price of the Company’s Common Stock on the Grant Date, and vests in equal installments over 48 months.</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Officers will earn a percentage of such PSU award upon the Company’s achievement of certain regulatory milestones, and, in each case, one-third of such earned portion shall vest upon the Compensation Committee’s determination of the achievement of such regulatory milestones (the “Achievement Determination Date”) and the remaining two-thirds will vest in two equal installments on the first and second anniversaries of such Achievement Determination Date.</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foregoing descriptions of the Options and PSUs do not purport to be complete and are subject to, and qualified in their entirety by, the form of Incentive Stock Option Award Agreement and form of Performance-Based Restricted Stock Unit Award Agreement, copies of which are filed as Exhibit 10.6 to the Company’s Annual Report on Form 10-K for the year ended December 31, 2025, filed with the Securities and Exchange Commission on March 11, 2026, and Exhibit 10.1 hereto, respectively.</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14"/>
        </w:trPr>
        <w:tc>
          <w:tcPr>
            <w:tcW w:w="60" w:type="dxa"/>
            <w:vAlign w:val="bottom"/>
          </w:tcPr>
          <w:p>
            <w:pPr>
              <w:spacing w:after="0"/>
              <w:rPr>
                <w:sz w:val="24"/>
                <w:szCs w:val="24"/>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8"/>
              </w:rPr>
              <w:t>Exhibit</w:t>
            </w:r>
          </w:p>
        </w:tc>
        <w:tc>
          <w:tcPr>
            <w:tcW w:w="6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34"/>
        </w:trPr>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rPr>
              <w:t>No.</w:t>
            </w:r>
          </w:p>
        </w:tc>
        <w:tc>
          <w:tcPr>
            <w:tcW w:w="60" w:type="dxa"/>
            <w:vAlign w:val="bottom"/>
          </w:tcPr>
          <w:p>
            <w:pPr>
              <w:spacing w:after="0"/>
              <w:rPr>
                <w:sz w:val="20"/>
                <w:szCs w:val="20"/>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169"/>
        </w:trPr>
        <w:tc>
          <w:tcPr>
            <w:tcW w:w="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7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990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Form of Performance-Based Restricted Stock Unit Award Agreement.</w:t>
            </w:r>
          </w:p>
        </w:tc>
      </w:tr>
      <w:tr>
        <w:trPr>
          <w:trHeight w:val="20"/>
        </w:trPr>
        <w:tc>
          <w:tcPr>
            <w:tcW w:w="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40" w:type="dxa"/>
            <w:vAlign w:val="bottom"/>
            <w:shd w:val="clear" w:color="auto" w:fill="0000EE"/>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237"/>
        </w:trPr>
        <w:tc>
          <w:tcPr>
            <w:tcW w:w="6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Sagimet Biosciences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3, 2026</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David Happel</w:t>
            </w:r>
          </w:p>
        </w:tc>
      </w:tr>
      <w:tr>
        <w:trPr>
          <w:trHeight w:val="191"/>
        </w:trPr>
        <w:tc>
          <w:tcPr>
            <w:tcW w:w="3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David Happel</w:t>
            </w:r>
          </w:p>
        </w:tc>
      </w:tr>
      <w:tr>
        <w:trPr>
          <w:trHeight w:val="234"/>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5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ectPr>
          <w:pgSz w:w="11900" w:h="16838" w:orient="portrait"/>
          <w:cols w:equalWidth="0" w:num="1">
            <w:col w:w="11240"/>
          </w:cols>
          <w:pgMar w:left="320" w:top="351" w:right="339" w:bottom="1440" w:gutter="0" w:footer="0" w:header="0"/>
        </w:sectPr>
      </w:pPr>
    </w:p>
    <w:p>
      <w:pPr>
        <w:spacing w:after="0" w:line="227" w:lineRule="exact"/>
        <w:rPr>
          <w:sz w:val="20"/>
          <w:szCs w:val="20"/>
          <w:color w:val="auto"/>
        </w:rPr>
      </w:pPr>
    </w:p>
    <w:p>
      <w:pPr>
        <w:jc w:val="center"/>
        <w:ind w:left="3420"/>
        <w:spacing w:after="0"/>
        <w:rPr>
          <w:sz w:val="20"/>
          <w:szCs w:val="20"/>
          <w:color w:val="auto"/>
        </w:rPr>
      </w:pPr>
      <w:r>
        <w:rPr>
          <w:rFonts w:ascii="Times New Roman" w:cs="Times New Roman" w:eastAsia="Times New Roman" w:hAnsi="Times New Roman"/>
          <w:sz w:val="18"/>
          <w:szCs w:val="18"/>
          <w:b w:val="1"/>
          <w:bCs w:val="1"/>
          <w:color w:val="auto"/>
        </w:rPr>
        <w:t>PERFORMANCE-BASED</w:t>
      </w:r>
    </w:p>
    <w:p>
      <w:pPr>
        <w:spacing w:after="0" w:line="31" w:lineRule="exact"/>
        <w:rPr>
          <w:sz w:val="20"/>
          <w:szCs w:val="20"/>
          <w:color w:val="auto"/>
        </w:rPr>
      </w:pPr>
    </w:p>
    <w:p>
      <w:pPr>
        <w:jc w:val="center"/>
        <w:ind w:left="3420"/>
        <w:spacing w:after="0"/>
        <w:rPr>
          <w:sz w:val="20"/>
          <w:szCs w:val="20"/>
          <w:color w:val="auto"/>
        </w:rPr>
      </w:pPr>
      <w:r>
        <w:rPr>
          <w:rFonts w:ascii="Times New Roman" w:cs="Times New Roman" w:eastAsia="Times New Roman" w:hAnsi="Times New Roman"/>
          <w:sz w:val="17"/>
          <w:szCs w:val="17"/>
          <w:b w:val="1"/>
          <w:bCs w:val="1"/>
          <w:color w:val="auto"/>
        </w:rPr>
        <w:t>RESTRICTED STOCK UNIT AWARD AGREEMENT</w:t>
      </w:r>
    </w:p>
    <w:p>
      <w:pPr>
        <w:spacing w:after="0" w:line="21" w:lineRule="exact"/>
        <w:rPr>
          <w:sz w:val="20"/>
          <w:szCs w:val="20"/>
          <w:color w:val="auto"/>
        </w:rPr>
      </w:pPr>
    </w:p>
    <w:p>
      <w:pPr>
        <w:jc w:val="center"/>
        <w:ind w:left="3420"/>
        <w:spacing w:after="0"/>
        <w:rPr>
          <w:sz w:val="20"/>
          <w:szCs w:val="20"/>
          <w:color w:val="auto"/>
        </w:rPr>
      </w:pPr>
      <w:r>
        <w:rPr>
          <w:rFonts w:ascii="Times New Roman" w:cs="Times New Roman" w:eastAsia="Times New Roman" w:hAnsi="Times New Roman"/>
          <w:sz w:val="18"/>
          <w:szCs w:val="18"/>
          <w:b w:val="1"/>
          <w:bCs w:val="1"/>
          <w:color w:val="auto"/>
        </w:rPr>
        <w:t>FOR COMPANY EMPLOYEES</w:t>
      </w:r>
    </w:p>
    <w:p>
      <w:pPr>
        <w:spacing w:after="0" w:line="9" w:lineRule="exact"/>
        <w:rPr>
          <w:sz w:val="20"/>
          <w:szCs w:val="20"/>
          <w:color w:val="auto"/>
        </w:rPr>
      </w:pPr>
    </w:p>
    <w:p>
      <w:pPr>
        <w:jc w:val="center"/>
        <w:ind w:left="3420"/>
        <w:spacing w:after="0"/>
        <w:rPr>
          <w:sz w:val="20"/>
          <w:szCs w:val="20"/>
          <w:color w:val="auto"/>
        </w:rPr>
      </w:pPr>
      <w:r>
        <w:rPr>
          <w:rFonts w:ascii="Times New Roman" w:cs="Times New Roman" w:eastAsia="Times New Roman" w:hAnsi="Times New Roman"/>
          <w:sz w:val="18"/>
          <w:szCs w:val="18"/>
          <w:b w:val="1"/>
          <w:bCs w:val="1"/>
          <w:color w:val="auto"/>
        </w:rPr>
        <w:t>UNDER THE SAGIMET BIOSCIENCES INC.</w:t>
      </w:r>
    </w:p>
    <w:p>
      <w:pPr>
        <w:spacing w:after="0" w:line="9" w:lineRule="exact"/>
        <w:rPr>
          <w:sz w:val="20"/>
          <w:szCs w:val="20"/>
          <w:color w:val="auto"/>
        </w:rPr>
      </w:pPr>
    </w:p>
    <w:p>
      <w:pPr>
        <w:jc w:val="center"/>
        <w:ind w:left="3420"/>
        <w:spacing w:after="0"/>
        <w:rPr>
          <w:sz w:val="20"/>
          <w:szCs w:val="20"/>
          <w:color w:val="auto"/>
        </w:rPr>
      </w:pPr>
      <w:r>
        <w:rPr>
          <w:rFonts w:ascii="Times New Roman" w:cs="Times New Roman" w:eastAsia="Times New Roman" w:hAnsi="Times New Roman"/>
          <w:sz w:val="18"/>
          <w:szCs w:val="18"/>
          <w:b w:val="1"/>
          <w:bCs w:val="1"/>
          <w:color w:val="auto"/>
        </w:rPr>
        <w:t>2023 STOCK OPTION AND INCENTIVE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Grantee</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Date: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Target Number of PSUs for Performance Milestone Award: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t>
      </w:r>
      <w:r>
        <w:rPr>
          <w:rFonts w:ascii="Arial" w:cs="Arial" w:eastAsia="Arial" w:hAnsi="Arial"/>
          <w:sz w:val="18"/>
          <w:szCs w:val="18"/>
          <w:b w:val="1"/>
          <w:bCs w:val="1"/>
          <w:u w:val="single" w:color="auto"/>
          <w:color w:val="auto"/>
        </w:rPr>
        <w:t>·</w:t>
      </w:r>
      <w:r>
        <w:rPr>
          <w:rFonts w:ascii="Times New Roman" w:cs="Times New Roman" w:eastAsia="Times New Roman" w:hAnsi="Times New Roman"/>
          <w:sz w:val="18"/>
          <w:szCs w:val="18"/>
          <w:u w:val="single" w:color="auto"/>
          <w:color w:val="auto"/>
        </w:rPr>
        <w: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t>
      </w:r>
      <w:r>
        <w:rPr>
          <w:rFonts w:ascii="Arial" w:cs="Arial" w:eastAsia="Arial" w:hAnsi="Arial"/>
          <w:sz w:val="18"/>
          <w:szCs w:val="18"/>
          <w:b w:val="1"/>
          <w:bCs w:val="1"/>
          <w:u w:val="single" w:color="auto"/>
          <w:color w:val="auto"/>
        </w:rPr>
        <w:t>·</w:t>
      </w:r>
      <w:r>
        <w:rPr>
          <w:rFonts w:ascii="Times New Roman" w:cs="Times New Roman" w:eastAsia="Times New Roman" w:hAnsi="Times New Roman"/>
          <w:sz w:val="18"/>
          <w:szCs w:val="18"/>
          <w:u w:val="single" w:color="auto"/>
          <w:color w:val="auto"/>
        </w:rPr>
        <w: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t>
      </w:r>
      <w:r>
        <w:rPr>
          <w:rFonts w:ascii="Arial" w:cs="Arial" w:eastAsia="Arial" w:hAnsi="Arial"/>
          <w:sz w:val="18"/>
          <w:szCs w:val="18"/>
          <w:b w:val="1"/>
          <w:bCs w:val="1"/>
          <w:u w:val="single" w:color="auto"/>
          <w:color w:val="auto"/>
        </w:rPr>
        <w:t>·</w:t>
      </w:r>
      <w:r>
        <w:rPr>
          <w:rFonts w:ascii="Times New Roman" w:cs="Times New Roman" w:eastAsia="Times New Roman" w:hAnsi="Times New Roman"/>
          <w:sz w:val="18"/>
          <w:szCs w:val="18"/>
          <w:u w:val="single" w:color="auto"/>
          <w:color w:val="auto"/>
        </w:rPr>
        <w:t>]</w:t>
      </w:r>
    </w:p>
    <w:p>
      <w:pPr>
        <w:spacing w:after="0" w:line="200" w:lineRule="exact"/>
        <w:rPr>
          <w:sz w:val="20"/>
          <w:szCs w:val="20"/>
          <w:color w:val="auto"/>
        </w:rPr>
      </w:pPr>
    </w:p>
    <w:p>
      <w:pPr>
        <w:sectPr>
          <w:pgSz w:w="11900" w:h="16838" w:orient="portrait"/>
          <w:cols w:equalWidth="0" w:num="2">
            <w:col w:w="7840" w:space="720"/>
            <w:col w:w="2680"/>
          </w:cols>
          <w:pgMar w:left="320" w:top="351" w:right="339" w:bottom="1440" w:gutter="0" w:footer="0" w:header="0"/>
          <w:type w:val="continuous"/>
        </w:sectPr>
      </w:pPr>
    </w:p>
    <w:p>
      <w:pPr>
        <w:spacing w:after="0" w:line="25" w:lineRule="exact"/>
        <w:rPr>
          <w:sz w:val="20"/>
          <w:szCs w:val="20"/>
          <w:color w:val="auto"/>
        </w:rPr>
      </w:pPr>
    </w:p>
    <w:p>
      <w:pPr>
        <w:ind w:right="420" w:firstLine="648"/>
        <w:spacing w:after="0" w:line="261" w:lineRule="auto"/>
        <w:rPr>
          <w:sz w:val="20"/>
          <w:szCs w:val="20"/>
          <w:color w:val="auto"/>
        </w:rPr>
      </w:pPr>
      <w:r>
        <w:rPr>
          <w:rFonts w:ascii="Times New Roman" w:cs="Times New Roman" w:eastAsia="Times New Roman" w:hAnsi="Times New Roman"/>
          <w:sz w:val="18"/>
          <w:szCs w:val="18"/>
          <w:color w:val="auto"/>
        </w:rPr>
        <w:t>Pursuant to the Sagimet Biosciences Inc. 2023 Stock Option and Incentive Plan, as amended through the date hereof (the “Plan”), Sagimet Biosciences Inc. (the “Company”) hereby grants an award of the target number of Performance-Based Restricted Stock Units (“PSUs” and such target number of PSUs, the “Target PSUs”) listed above (an “Award”) to the Grantee named above. Each PSU shall relate to one share of Series A Common Stock, par value $0.0001 per share (the “Stock”) of the Company.</w:t>
      </w:r>
    </w:p>
    <w:p>
      <w:pPr>
        <w:spacing w:after="0" w:line="18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Restrictions on Transfer of Award</w:t>
      </w:r>
      <w:r>
        <w:rPr>
          <w:rFonts w:ascii="Times New Roman" w:cs="Times New Roman" w:eastAsia="Times New Roman" w:hAnsi="Times New Roman"/>
          <w:sz w:val="18"/>
          <w:szCs w:val="18"/>
          <w:color w:val="auto"/>
        </w:rPr>
        <w:t xml:space="preserve">. This Award may not be sold, transferred, pledged, assigned or otherwise encumbered or disposed of by the Grantee, and any shares of Stock issuable with respect to the Award may not be sold, transferred, pledged, assigned or otherwise encumbered or disposed of until (i) the PSUs have vested as provided in Paragraph 2 of this Agreement and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(ii) shares of Stock have been issued to the Grantee in accordance with the terms of the Plan and this Agreement.</w:t>
      </w:r>
    </w:p>
    <w:p>
      <w:pPr>
        <w:spacing w:after="0" w:line="180"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Earning and Vesting of PSUs</w:t>
      </w:r>
      <w:r>
        <w:rPr>
          <w:rFonts w:ascii="Times New Roman" w:cs="Times New Roman" w:eastAsia="Times New Roman" w:hAnsi="Times New Roman"/>
          <w:sz w:val="18"/>
          <w:szCs w:val="18"/>
          <w:color w:val="auto"/>
        </w:rPr>
        <w:t xml:space="preserve">. The PSUs shall become Earned PSUs (as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on the Achievement Determination Date (as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on or prior to the end of the Performance Period (as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in accordance with the terms and conditions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provided that the Grantee remains in a Service Relationship with the Company or a Subsidiary through the Achievement Determination Date and any subsequent vesting date. The Earned PSUs, if any, shall vest as follows: [●]; provided that the Grantee remains in a Service Relationship through the applicable vesting date. For the avoidance of doubt, a Service Relationship for only a period prior to a vesting date (but where the Service Relationship has terminated prior to the vesting date) does not entitle the Grantee to vest in a pro-rata portion of the PSUs on such date or entitle the Grantee to compensation for lost vesting. The Administrator may at any time accelerate the vesting schedule specified in this Paragraph 2.</w:t>
      </w:r>
    </w:p>
    <w:p>
      <w:pPr>
        <w:spacing w:after="0" w:line="18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Termination of Service Relationship</w:t>
      </w:r>
      <w:r>
        <w:rPr>
          <w:rFonts w:ascii="Times New Roman" w:cs="Times New Roman" w:eastAsia="Times New Roman" w:hAnsi="Times New Roman"/>
          <w:sz w:val="18"/>
          <w:szCs w:val="18"/>
          <w:color w:val="auto"/>
        </w:rPr>
        <w:t xml:space="preserve">. If the Grantee’s Service Relationship with the Company or a Subsidiary terminates for any reason (including death or disability) prior to the satisfaction of the vesting conditions set forth in Paragraph 2 above and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any PSUs that have not vested as of such date shall automatically and without notice terminate and be forfeited, and neither the Grantee nor any of his or her successors, heirs, assigns or personal representatives will thereafter have any further rights or interests in such unvested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4" w:name="page5"/>
    <w:bookmarkEnd w:id="4"/>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Issuance of Shares of Stock</w:t>
      </w:r>
      <w:r>
        <w:rPr>
          <w:rFonts w:ascii="Times New Roman" w:cs="Times New Roman" w:eastAsia="Times New Roman" w:hAnsi="Times New Roman"/>
          <w:sz w:val="18"/>
          <w:szCs w:val="18"/>
          <w:color w:val="auto"/>
        </w:rPr>
        <w:t xml:space="preserve">. As soon as practicable following each vesting date (but in no event later than two and one-half months after the end of the year in which the vesting date occurs), the Company shall issue to the Grantee the number of shares of Stock equal to the aggregate number of PSUs that have been earned and vested pursuant to Paragraph 2 and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of this Agreement on such date and the Grantee shall thereafter have all the rights of a stockholder of the Company with respect to such shares of Stock.</w:t>
      </w:r>
    </w:p>
    <w:p>
      <w:pPr>
        <w:spacing w:after="0" w:line="180"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Grantee a number of shares of Stock with an aggregate Fair Market Value that would satisfy the withholding amount due; or (ii) causing its transfer agent to sell from the number of shares of Stock to be issued to the Grantee, the number of shares of Stock necessary to satisfy the Federal, state and local taxes required by law to be withheld from the Grantee on account of such transfer.</w:t>
      </w:r>
    </w:p>
    <w:p>
      <w:pPr>
        <w:spacing w:after="0" w:line="18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Section 409A of the Code.</w:t>
      </w:r>
      <w:r>
        <w:rPr>
          <w:rFonts w:ascii="Times New Roman" w:cs="Times New Roman" w:eastAsia="Times New Roman" w:hAnsi="Times New Roman"/>
          <w:sz w:val="18"/>
          <w:szCs w:val="18"/>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62" w:lineRule="exact"/>
        <w:rPr>
          <w:sz w:val="20"/>
          <w:szCs w:val="20"/>
          <w:color w:val="auto"/>
        </w:rPr>
      </w:pPr>
    </w:p>
    <w:p>
      <w:pPr>
        <w:jc w:val="both"/>
        <w:ind w:right="100" w:firstLine="648"/>
        <w:spacing w:after="0" w:line="289" w:lineRule="auto"/>
        <w:rPr>
          <w:sz w:val="20"/>
          <w:szCs w:val="20"/>
          <w:color w:val="auto"/>
        </w:rPr>
      </w:pPr>
      <w:r>
        <w:rPr>
          <w:rFonts w:ascii="Times New Roman" w:cs="Times New Roman" w:eastAsia="Times New Roman" w:hAnsi="Times New Roman"/>
          <w:sz w:val="17"/>
          <w:szCs w:val="17"/>
          <w:color w:val="auto"/>
        </w:rPr>
        <w:t xml:space="preserve">8.               </w:t>
      </w:r>
      <w:r>
        <w:rPr>
          <w:rFonts w:ascii="Times New Roman" w:cs="Times New Roman" w:eastAsia="Times New Roman" w:hAnsi="Times New Roman"/>
          <w:sz w:val="17"/>
          <w:szCs w:val="17"/>
          <w:u w:val="single" w:color="auto"/>
          <w:color w:val="auto"/>
        </w:rPr>
        <w:t>No Obligation to Continue Service Relationship</w:t>
      </w:r>
      <w:r>
        <w:rPr>
          <w:rFonts w:ascii="Times New Roman" w:cs="Times New Roman" w:eastAsia="Times New Roman" w:hAnsi="Times New Roman"/>
          <w:sz w:val="17"/>
          <w:szCs w:val="17"/>
          <w:color w:val="auto"/>
        </w:rPr>
        <w:t>. Neither the Company nor any Subsidiary is obligated by or as a result of the Plan or this Agreement to continue the Grantee’s Service Relationship with the Company or a Subsidiary and neither the Plan nor this Agreement shall interfere in any way with the right of the Company or any Subsidiary to terminate the Grantee’s Service Relationship with the Company or a Subsidiary at any time.</w:t>
      </w:r>
    </w:p>
    <w:p>
      <w:pPr>
        <w:spacing w:after="0" w:line="158"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this Award and supersedes all prior agreements and discussions between the parties concerning such subject matter.</w:t>
      </w:r>
    </w:p>
    <w:p>
      <w:pPr>
        <w:spacing w:after="0" w:line="162" w:lineRule="exact"/>
        <w:rPr>
          <w:sz w:val="20"/>
          <w:szCs w:val="20"/>
          <w:color w:val="auto"/>
        </w:rPr>
      </w:pPr>
    </w:p>
    <w:p>
      <w:pPr>
        <w:ind w:right="20" w:firstLine="648"/>
        <w:spacing w:after="0" w:line="270" w:lineRule="auto"/>
        <w:rPr>
          <w:sz w:val="20"/>
          <w:szCs w:val="20"/>
          <w:color w:val="auto"/>
        </w:rPr>
      </w:pPr>
      <w:r>
        <w:rPr>
          <w:rFonts w:ascii="Times New Roman" w:cs="Times New Roman" w:eastAsia="Times New Roman" w:hAnsi="Times New Roman"/>
          <w:sz w:val="17"/>
          <w:szCs w:val="17"/>
          <w:color w:val="auto"/>
        </w:rPr>
        <w:t xml:space="preserve">10.           </w:t>
      </w:r>
      <w:r>
        <w:rPr>
          <w:rFonts w:ascii="Times New Roman" w:cs="Times New Roman" w:eastAsia="Times New Roman" w:hAnsi="Times New Roman"/>
          <w:sz w:val="17"/>
          <w:szCs w:val="17"/>
          <w:u w:val="single" w:color="auto"/>
          <w:color w:val="auto"/>
        </w:rPr>
        <w:t>Data Privacy Consent</w:t>
      </w:r>
      <w:r>
        <w:rPr>
          <w:rFonts w:ascii="Times New Roman" w:cs="Times New Roman" w:eastAsia="Times New Roman" w:hAnsi="Times New Roman"/>
          <w:sz w:val="17"/>
          <w:szCs w:val="17"/>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w:t>
      </w:r>
    </w:p>
    <w:p>
      <w:pPr>
        <w:spacing w:after="0" w:line="3" w:lineRule="exact"/>
        <w:rPr>
          <w:sz w:val="20"/>
          <w:szCs w:val="20"/>
          <w:color w:val="auto"/>
        </w:rPr>
      </w:pPr>
    </w:p>
    <w:p>
      <w:pPr>
        <w:ind w:right="120" w:firstLine="8"/>
        <w:spacing w:after="0" w:line="253" w:lineRule="auto"/>
        <w:tabs>
          <w:tab w:leader="none" w:pos="2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8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left="5640"/>
        <w:spacing w:after="0"/>
        <w:rPr>
          <w:sz w:val="20"/>
          <w:szCs w:val="20"/>
          <w:color w:val="auto"/>
        </w:rPr>
      </w:pPr>
      <w:r>
        <w:rPr>
          <w:rFonts w:ascii="Times New Roman" w:cs="Times New Roman" w:eastAsia="Times New Roman" w:hAnsi="Times New Roman"/>
          <w:sz w:val="18"/>
          <w:szCs w:val="18"/>
          <w:b w:val="1"/>
          <w:bCs w:val="1"/>
          <w:color w:val="auto"/>
        </w:rPr>
        <w:t>SAGIMET BIOSCIENCES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6703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Grantee’s Signature</w:t>
      </w:r>
    </w:p>
    <w:p>
      <w:pPr>
        <w:spacing w:after="0" w:line="22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711835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437515</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154305</wp:posOffset>
            </wp:positionV>
            <wp:extent cx="32746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746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1148715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40"/>
          </w:cols>
          <w:pgMar w:left="320" w:top="900" w:right="8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ind w:left="660" w:right="2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The PSUs will be eligible to become earned and vested in accordance with the terms and conditions of Paragraph 2 of the Agreement and this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based on achievement of the following performance milestone[s]; provided, that in no event will any PSUs become Earned PSUs following the applicable Performance Period:</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840" w:type="dxa"/>
            <w:vAlign w:val="bottom"/>
            <w:tcBorders>
              <w:top w:val="single" w:sz="8" w:color="auto"/>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2800" w:type="dxa"/>
            <w:vAlign w:val="bottom"/>
            <w:tcBorders>
              <w:top w:val="single" w:sz="8" w:color="auto"/>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Number of Target</w:t>
            </w:r>
          </w:p>
        </w:tc>
        <w:tc>
          <w:tcPr>
            <w:tcW w:w="2580" w:type="dxa"/>
            <w:vAlign w:val="bottom"/>
            <w:tcBorders>
              <w:top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Applicable</w:t>
            </w:r>
          </w:p>
        </w:tc>
        <w:tc>
          <w:tcPr>
            <w:tcW w:w="13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right w:val="single" w:sz="8" w:color="auto"/>
            </w:tcBorders>
            <w:gridSpan w:val="3"/>
            <w:vMerge w:val="continue"/>
          </w:tcPr>
          <w:p>
            <w:pPr>
              <w:spacing w:after="0"/>
              <w:rPr>
                <w:sz w:val="9"/>
                <w:szCs w:val="9"/>
                <w:color w:val="auto"/>
              </w:rPr>
            </w:pPr>
          </w:p>
        </w:tc>
        <w:tc>
          <w:tcPr>
            <w:tcW w:w="2800" w:type="dxa"/>
            <w:vAlign w:val="bottom"/>
            <w:tcBorders>
              <w:right w:val="single" w:sz="8" w:color="auto"/>
            </w:tcBorders>
            <w:gridSpan w:val="3"/>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PSUs Eligible to be</w:t>
            </w:r>
          </w:p>
        </w:tc>
        <w:tc>
          <w:tcPr>
            <w:tcW w:w="2580" w:type="dxa"/>
            <w:vAlign w:val="bottom"/>
            <w:tcBorders>
              <w:right w:val="single" w:sz="8" w:color="auto"/>
            </w:tcBorders>
            <w:gridSpan w:val="3"/>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3020" w:type="dxa"/>
            <w:vAlign w:val="bottom"/>
            <w:tcBorders>
              <w:right w:val="single" w:sz="8" w:color="auto"/>
            </w:tcBorders>
            <w:gridSpan w:val="3"/>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Performance Period</w:t>
            </w: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Milestone</w:t>
            </w:r>
          </w:p>
        </w:tc>
        <w:tc>
          <w:tcPr>
            <w:tcW w:w="2800" w:type="dxa"/>
            <w:vAlign w:val="bottom"/>
            <w:tcBorders>
              <w:right w:val="single" w:sz="8" w:color="auto"/>
            </w:tcBorders>
            <w:gridSpan w:val="3"/>
            <w:vMerge w:val="continue"/>
          </w:tcPr>
          <w:p>
            <w:pPr>
              <w:spacing w:after="0"/>
              <w:rPr>
                <w:sz w:val="9"/>
                <w:szCs w:val="9"/>
                <w:color w:val="auto"/>
              </w:rPr>
            </w:pPr>
          </w:p>
        </w:tc>
        <w:tc>
          <w:tcPr>
            <w:tcW w:w="2580" w:type="dxa"/>
            <w:vAlign w:val="bottom"/>
            <w:tcBorders>
              <w:right w:val="single" w:sz="8" w:color="auto"/>
            </w:tcBorders>
            <w:gridSpan w:val="3"/>
            <w:vMerge w:val="continue"/>
          </w:tcPr>
          <w:p>
            <w:pPr>
              <w:spacing w:after="0"/>
              <w:rPr>
                <w:sz w:val="9"/>
                <w:szCs w:val="9"/>
                <w:color w:val="auto"/>
              </w:rPr>
            </w:pPr>
          </w:p>
        </w:tc>
        <w:tc>
          <w:tcPr>
            <w:tcW w:w="302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840" w:type="dxa"/>
            <w:vAlign w:val="bottom"/>
            <w:tcBorders>
              <w:left w:val="single" w:sz="8" w:color="auto"/>
              <w:right w:val="single" w:sz="8" w:color="auto"/>
            </w:tcBorders>
            <w:gridSpan w:val="3"/>
            <w:vMerge w:val="continue"/>
          </w:tcPr>
          <w:p>
            <w:pPr>
              <w:spacing w:after="0"/>
              <w:rPr>
                <w:sz w:val="11"/>
                <w:szCs w:val="11"/>
                <w:color w:val="auto"/>
              </w:rPr>
            </w:pPr>
          </w:p>
        </w:tc>
        <w:tc>
          <w:tcPr>
            <w:tcW w:w="2800" w:type="dxa"/>
            <w:vAlign w:val="bottom"/>
            <w:tcBorders>
              <w:right w:val="single" w:sz="8" w:color="auto"/>
            </w:tcBorders>
            <w:gridSpan w:val="3"/>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Earned</w:t>
            </w:r>
          </w:p>
        </w:tc>
        <w:tc>
          <w:tcPr>
            <w:tcW w:w="2580" w:type="dxa"/>
            <w:vAlign w:val="bottom"/>
            <w:tcBorders>
              <w:right w:val="single" w:sz="8" w:color="auto"/>
            </w:tcBorders>
            <w:gridSpan w:val="3"/>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Milestone</w:t>
            </w:r>
          </w:p>
        </w:tc>
        <w:tc>
          <w:tcPr>
            <w:tcW w:w="1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300" w:type="dxa"/>
            <w:vAlign w:val="bottom"/>
            <w:tcBorders>
              <w:lef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Borders>
              <w:right w:val="single" w:sz="8" w:color="auto"/>
            </w:tcBorders>
          </w:tcPr>
          <w:p>
            <w:pPr>
              <w:spacing w:after="0"/>
              <w:rPr>
                <w:sz w:val="9"/>
                <w:szCs w:val="9"/>
                <w:color w:val="auto"/>
              </w:rPr>
            </w:pPr>
          </w:p>
        </w:tc>
        <w:tc>
          <w:tcPr>
            <w:tcW w:w="2800" w:type="dxa"/>
            <w:vAlign w:val="bottom"/>
            <w:tcBorders>
              <w:right w:val="single" w:sz="8" w:color="auto"/>
            </w:tcBorders>
            <w:gridSpan w:val="3"/>
            <w:vMerge w:val="continue"/>
          </w:tcPr>
          <w:p>
            <w:pPr>
              <w:spacing w:after="0"/>
              <w:rPr>
                <w:sz w:val="9"/>
                <w:szCs w:val="9"/>
                <w:color w:val="auto"/>
              </w:rPr>
            </w:pPr>
          </w:p>
        </w:tc>
        <w:tc>
          <w:tcPr>
            <w:tcW w:w="2580" w:type="dxa"/>
            <w:vAlign w:val="bottom"/>
            <w:tcBorders>
              <w:right w:val="single" w:sz="8" w:color="auto"/>
            </w:tcBorders>
            <w:gridSpan w:val="3"/>
            <w:vMerge w:val="continue"/>
          </w:tcPr>
          <w:p>
            <w:pPr>
              <w:spacing w:after="0"/>
              <w:rPr>
                <w:sz w:val="9"/>
                <w:szCs w:val="9"/>
                <w:color w:val="auto"/>
              </w:rPr>
            </w:pPr>
          </w:p>
        </w:tc>
        <w:tc>
          <w:tcPr>
            <w:tcW w:w="1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0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840" w:type="dxa"/>
            <w:vAlign w:val="bottom"/>
            <w:tcBorders>
              <w:left w:val="single" w:sz="8" w:color="auto"/>
              <w:right w:val="single" w:sz="8" w:color="auto"/>
            </w:tcBorders>
            <w:gridSpan w:val="3"/>
          </w:tcPr>
          <w:p>
            <w:pPr>
              <w:jc w:val="center"/>
              <w:spacing w:after="0" w:line="169" w:lineRule="exact"/>
              <w:rPr>
                <w:sz w:val="20"/>
                <w:szCs w:val="20"/>
                <w:color w:val="auto"/>
              </w:rPr>
            </w:pPr>
            <w:r>
              <w:rPr>
                <w:rFonts w:ascii="Times New Roman" w:cs="Times New Roman" w:eastAsia="Times New Roman" w:hAnsi="Times New Roman"/>
                <w:sz w:val="18"/>
                <w:szCs w:val="18"/>
                <w:color w:val="auto"/>
              </w:rPr>
              <w:t>[●]</w:t>
            </w:r>
          </w:p>
        </w:tc>
        <w:tc>
          <w:tcPr>
            <w:tcW w:w="2800" w:type="dxa"/>
            <w:vAlign w:val="bottom"/>
            <w:tcBorders>
              <w:right w:val="single" w:sz="8" w:color="auto"/>
            </w:tcBorders>
            <w:gridSpan w:val="3"/>
          </w:tcPr>
          <w:p>
            <w:pPr>
              <w:jc w:val="center"/>
              <w:ind w:right="20"/>
              <w:spacing w:after="0" w:line="169" w:lineRule="exact"/>
              <w:rPr>
                <w:sz w:val="20"/>
                <w:szCs w:val="20"/>
                <w:color w:val="auto"/>
              </w:rPr>
            </w:pPr>
            <w:r>
              <w:rPr>
                <w:rFonts w:ascii="Times New Roman" w:cs="Times New Roman" w:eastAsia="Times New Roman" w:hAnsi="Times New Roman"/>
                <w:sz w:val="18"/>
                <w:szCs w:val="18"/>
                <w:color w:val="auto"/>
                <w:w w:val="96"/>
              </w:rPr>
              <w:t>[●]</w:t>
            </w:r>
          </w:p>
        </w:tc>
        <w:tc>
          <w:tcPr>
            <w:tcW w:w="2580" w:type="dxa"/>
            <w:vAlign w:val="bottom"/>
            <w:tcBorders>
              <w:right w:val="single" w:sz="8" w:color="auto"/>
            </w:tcBorders>
            <w:gridSpan w:val="3"/>
          </w:tcPr>
          <w:p>
            <w:pPr>
              <w:jc w:val="center"/>
              <w:ind w:right="2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spacing w:after="0"/>
              <w:rPr>
                <w:sz w:val="14"/>
                <w:szCs w:val="14"/>
                <w:color w:val="auto"/>
              </w:rPr>
            </w:pPr>
          </w:p>
        </w:tc>
        <w:tc>
          <w:tcPr>
            <w:tcW w:w="1640" w:type="dxa"/>
            <w:vAlign w:val="bottom"/>
            <w:tcBorders>
              <w:right w:val="single" w:sz="8" w:color="auto"/>
            </w:tcBorders>
            <w:gridSpan w:val="2"/>
          </w:tcPr>
          <w:p>
            <w:pPr>
              <w:jc w:val="center"/>
              <w:ind w:right="1400"/>
              <w:spacing w:after="0" w:line="16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1300" w:type="dxa"/>
            <w:vAlign w:val="bottom"/>
            <w:tcBorders>
              <w:left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The terms set forth below, as used in the Agreement and this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shall have the following meanings:</w:t>
      </w:r>
    </w:p>
    <w:p>
      <w:pPr>
        <w:spacing w:after="0" w:line="221" w:lineRule="exact"/>
        <w:rPr>
          <w:rFonts w:ascii="Times New Roman" w:cs="Times New Roman" w:eastAsia="Times New Roman" w:hAnsi="Times New Roman"/>
          <w:sz w:val="18"/>
          <w:szCs w:val="18"/>
          <w:color w:val="auto"/>
        </w:rPr>
      </w:pPr>
    </w:p>
    <w:p>
      <w:pPr>
        <w:ind w:left="1300" w:right="260" w:hanging="320"/>
        <w:spacing w:after="0" w:line="286"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Achievement Determination Date</w:t>
      </w:r>
      <w:r>
        <w:rPr>
          <w:rFonts w:ascii="Times New Roman" w:cs="Times New Roman" w:eastAsia="Times New Roman" w:hAnsi="Times New Roman"/>
          <w:sz w:val="18"/>
          <w:szCs w:val="18"/>
          <w:color w:val="auto"/>
        </w:rPr>
        <w:t>” means the date that the Compensation Committee determines and approves the achievement with respect to a performance milestone on or prior to the end of the applicable Performance Period.</w:t>
      </w:r>
    </w:p>
    <w:p>
      <w:pPr>
        <w:spacing w:after="0" w:line="15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Earned PSUs</w:t>
      </w:r>
      <w:r>
        <w:rPr>
          <w:rFonts w:ascii="Times New Roman" w:cs="Times New Roman" w:eastAsia="Times New Roman" w:hAnsi="Times New Roman"/>
          <w:sz w:val="18"/>
          <w:szCs w:val="18"/>
          <w:color w:val="auto"/>
        </w:rPr>
        <w:t>” means the number of PSUs, if any, that are earned based on achievement of the applicable performance milestone.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with respect to each performance milestone, the applicable period set forth in the table above.</w:t>
      </w:r>
    </w:p>
    <w:p>
      <w:pPr>
        <w:spacing w:after="0" w:line="2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 and Vesting of PSUs</w:t>
      </w:r>
      <w:r>
        <w:rPr>
          <w:rFonts w:ascii="Times New Roman" w:cs="Times New Roman" w:eastAsia="Times New Roman" w:hAnsi="Times New Roman"/>
          <w:sz w:val="18"/>
          <w:szCs w:val="18"/>
          <w:color w:val="auto"/>
        </w:rPr>
        <w:t>. Earned PSUs remain subject to vesting in accordance with Paragraph 2 of the Agreement.</w:t>
      </w:r>
    </w:p>
    <w:p>
      <w:pPr>
        <w:spacing w:after="0" w:line="225" w:lineRule="exact"/>
        <w:rPr>
          <w:rFonts w:ascii="Times New Roman" w:cs="Times New Roman" w:eastAsia="Times New Roman" w:hAnsi="Times New Roman"/>
          <w:sz w:val="18"/>
          <w:szCs w:val="18"/>
          <w:color w:val="auto"/>
        </w:rPr>
      </w:pPr>
    </w:p>
    <w:p>
      <w:pPr>
        <w:ind w:left="660" w:right="120" w:hanging="328"/>
        <w:spacing w:after="0" w:line="25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Determination by the Compensation Committee</w:t>
      </w:r>
      <w:r>
        <w:rPr>
          <w:rFonts w:ascii="Times New Roman" w:cs="Times New Roman" w:eastAsia="Times New Roman" w:hAnsi="Times New Roman"/>
          <w:sz w:val="18"/>
          <w:szCs w:val="18"/>
          <w:color w:val="auto"/>
        </w:rPr>
        <w:t xml:space="preserve">. The Compensation Committee has the sole discretion to determine if a performance milestone has been satisfied during the applicable Performance Period. The date as of which the Compensation Committee determines that a performance milestone has been satisfied is referred to herein as a “Achievement Determination Date.” Unless the Compensation Committee otherwise determines, any PSUs that fail to become Earned PSUs following the end of the applicable Performance Period shall be immediately forfeited for no consideration as of such date. Any Earned PSUs shall be rounded down to the nearest whole number of shares of Stock and any fractional Earned PSUs shall be disregarded. All determinations under this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shall be made by the Compensation Committee and will be final and binding on the Grantee.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Roman"/>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
    </w:lvl>
    <w:lvl w:ilvl="1">
      <w:lvlJc w:val="left"/>
      <w:lvlText w:val="%2."/>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2026-06-03T15:48:48Z</dcterms:created>
  <dcterms:modified xsi:type="dcterms:W3CDTF">2026-06-03T15:48:48Z</dcterms:modified>
</cp:coreProperties>
</file>