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Sagimet Biosciences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155 Bovet Road, Suite 303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San Mateo, California 94402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March 21,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David Gessert</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Celeste Murphy</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Li Xiao</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Lynn Dicker</w:t>
      </w:r>
    </w:p>
    <w:p>
      <w:pPr>
        <w:spacing w:after="0" w:line="207"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Sagimet Biosciences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Rule 477 Application for Withdrawal of 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on April 16,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333-255304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Pursuant to Rule 477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Sagimet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respectfully requests that, effective as of the date first set forth above or at the earliest practicable date thereafter,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consent to the withdrawal of the Company’s Registration Statement on Form S-1 (File No. 333-255304) initially filed with the Commission on April 16, 2021, as thereafter amended, together with all exhibits thereto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The grounds upon which the Company is making this application for withdrawal are that the Company does not intend to proceed with the initial public offering of the common shares proposed to be registered by the Registration Statement at this time.</w:t>
      </w:r>
    </w:p>
    <w:p>
      <w:pPr>
        <w:spacing w:after="0" w:line="1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confirms that the Registration Statement has not been declared effective and no securities have been or will be issued or sold pursuant to the Registration Statement or the prospectus contained therein.</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Pursuant to Rule 477(b) under the Securities Act, the Company understands that this request for withdrawal of the Registration Statement will be deemed granted as of the date hereof unless the Company receives notice from the Commission within 15 days of the date hereof that such request will not be granted.</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also requests, in accordance with Rule 457(p) under the Securities Act, that all fees paid to the Commission in connection with the filing of the Registration Statement be credited for future use for the Company’s account.</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Thank you for your assistance. If you should have any questions, please contact Milson Yu of Cooley LLP at (650) 843-5296, or in his absence, Michael Tenta at (650) 843-5635.</w:t>
      </w:r>
    </w:p>
    <w:p>
      <w:pPr>
        <w:spacing w:after="0" w:line="170" w:lineRule="exact"/>
        <w:rPr>
          <w:sz w:val="24"/>
          <w:szCs w:val="24"/>
          <w:color w:val="auto"/>
        </w:rPr>
      </w:pPr>
    </w:p>
    <w:p>
      <w:pPr>
        <w:ind w:left="560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00"/>
        <w:spacing w:after="0"/>
        <w:rPr>
          <w:sz w:val="20"/>
          <w:szCs w:val="20"/>
          <w:color w:val="auto"/>
        </w:rPr>
      </w:pPr>
      <w:r>
        <w:rPr>
          <w:rFonts w:ascii="Arial" w:cs="Arial" w:eastAsia="Arial" w:hAnsi="Arial"/>
          <w:sz w:val="18"/>
          <w:szCs w:val="18"/>
          <w:color w:val="auto"/>
        </w:rPr>
        <w:t>Sagimet Biosciences Inc.</w:t>
      </w:r>
    </w:p>
    <w:p>
      <w:pPr>
        <w:spacing w:after="0" w:line="225" w:lineRule="exact"/>
        <w:rPr>
          <w:sz w:val="24"/>
          <w:szCs w:val="24"/>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George Kemble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4"/>
          <w:szCs w:val="24"/>
          <w:color w:val="auto"/>
        </w:rPr>
      </w:pPr>
    </w:p>
    <w:p>
      <w:pPr>
        <w:ind w:left="5600"/>
        <w:spacing w:after="0"/>
        <w:rPr>
          <w:sz w:val="20"/>
          <w:szCs w:val="20"/>
          <w:color w:val="auto"/>
        </w:rPr>
      </w:pPr>
      <w:r>
        <w:rPr>
          <w:rFonts w:ascii="Arial" w:cs="Arial" w:eastAsia="Arial" w:hAnsi="Arial"/>
          <w:sz w:val="18"/>
          <w:szCs w:val="18"/>
          <w:color w:val="auto"/>
        </w:rPr>
        <w:t>Name:George Kemble</w:t>
      </w:r>
    </w:p>
    <w:p>
      <w:pPr>
        <w:spacing w:after="0" w:line="23" w:lineRule="exact"/>
        <w:rPr>
          <w:sz w:val="24"/>
          <w:szCs w:val="24"/>
          <w:color w:val="auto"/>
        </w:rPr>
      </w:pPr>
    </w:p>
    <w:p>
      <w:pPr>
        <w:ind w:left="560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left="672" w:right="6639" w:hanging="672"/>
        <w:spacing w:after="0" w:line="258" w:lineRule="auto"/>
        <w:tabs>
          <w:tab w:leader="none" w:pos="672" w:val="left"/>
        </w:tabs>
        <w:numPr>
          <w:ilvl w:val="0"/>
          <w:numId w:val="1"/>
        </w:numPr>
        <w:rPr>
          <w:rFonts w:ascii="Arial" w:cs="Arial" w:eastAsia="Arial" w:hAnsi="Arial"/>
          <w:sz w:val="18"/>
          <w:szCs w:val="18"/>
          <w:color w:val="auto"/>
        </w:rPr>
      </w:pPr>
      <w:r>
        <w:rPr>
          <w:rFonts w:ascii="Arial" w:cs="Arial" w:eastAsia="Arial" w:hAnsi="Arial"/>
          <w:sz w:val="18"/>
          <w:szCs w:val="18"/>
          <w:color w:val="auto"/>
        </w:rPr>
        <w:t>Dennis Hom, Sagimet Biosciences Inc. Michael Tenta, Cooley LLP</w:t>
      </w:r>
    </w:p>
    <w:p>
      <w:pPr>
        <w:spacing w:after="0" w:line="1" w:lineRule="exact"/>
        <w:rPr>
          <w:rFonts w:ascii="Arial" w:cs="Arial" w:eastAsia="Arial" w:hAnsi="Arial"/>
          <w:sz w:val="18"/>
          <w:szCs w:val="18"/>
          <w:color w:val="auto"/>
        </w:rPr>
      </w:pPr>
    </w:p>
    <w:p>
      <w:pPr>
        <w:ind w:left="672"/>
        <w:spacing w:after="0"/>
        <w:rPr>
          <w:rFonts w:ascii="Arial" w:cs="Arial" w:eastAsia="Arial" w:hAnsi="Arial"/>
          <w:sz w:val="18"/>
          <w:szCs w:val="18"/>
          <w:color w:val="auto"/>
        </w:rPr>
      </w:pPr>
      <w:r>
        <w:rPr>
          <w:rFonts w:ascii="Arial" w:cs="Arial" w:eastAsia="Arial" w:hAnsi="Arial"/>
          <w:sz w:val="18"/>
          <w:szCs w:val="18"/>
          <w:color w:val="auto"/>
        </w:rPr>
        <w:t>Milson Yu, Cooley LLP</w:t>
      </w:r>
    </w:p>
    <w:p>
      <w:pPr>
        <w:spacing w:after="0" w:line="9" w:lineRule="exact"/>
        <w:rPr>
          <w:rFonts w:ascii="Arial" w:cs="Arial" w:eastAsia="Arial" w:hAnsi="Arial"/>
          <w:sz w:val="18"/>
          <w:szCs w:val="18"/>
          <w:color w:val="auto"/>
        </w:rPr>
      </w:pPr>
    </w:p>
    <w:p>
      <w:pPr>
        <w:ind w:left="672" w:right="6219"/>
        <w:spacing w:after="0" w:line="302" w:lineRule="auto"/>
        <w:rPr>
          <w:rFonts w:ascii="Arial" w:cs="Arial" w:eastAsia="Arial" w:hAnsi="Arial"/>
          <w:sz w:val="18"/>
          <w:szCs w:val="18"/>
          <w:color w:val="auto"/>
        </w:rPr>
      </w:pPr>
      <w:r>
        <w:rPr>
          <w:rFonts w:ascii="Arial" w:cs="Arial" w:eastAsia="Arial" w:hAnsi="Arial"/>
          <w:sz w:val="16"/>
          <w:szCs w:val="16"/>
          <w:color w:val="auto"/>
        </w:rPr>
        <w:t>B. Shayne Kennedy, Latham &amp; Watkins LLP Cheston J. Larson, Latham &amp; Watkins LLP Chris G. Geissinger,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1"/>
      </w:cols>
      <w:pgMar w:left="328"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2022-03-21T05:16:26Z</dcterms:created>
  <dcterms:modified xsi:type="dcterms:W3CDTF">2022-03-21T05:16:26Z</dcterms:modified>
</cp:coreProperties>
</file>