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4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SAGIMET BIOSCIENCES INC.</w:t>
      </w:r>
    </w:p>
    <w:p>
      <w:pPr>
        <w:spacing w:after="0" w:line="4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840" w:type="dxa"/>
        <w:tblCellMar>
          <w:top w:w="0" w:type="dxa"/>
          <w:left w:w="0" w:type="dxa"/>
          <w:bottom w:w="0" w:type="dxa"/>
          <w:right w:w="0" w:type="dxa"/>
        </w:tblCellMar>
      </w:tblPr>
      <w:tr>
        <w:trPr>
          <w:trHeight w:val="216"/>
        </w:trPr>
        <w:tc>
          <w:tcPr>
            <w:tcW w:w="2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4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001-41742</w:t>
            </w:r>
          </w:p>
        </w:tc>
        <w:tc>
          <w:tcPr>
            <w:tcW w:w="168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8"/>
              </w:rPr>
              <w:t>20-5991472</w:t>
            </w:r>
          </w:p>
        </w:tc>
      </w:tr>
      <w:tr>
        <w:trPr>
          <w:trHeight w:val="216"/>
        </w:trPr>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4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168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4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168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2140" w:type="dxa"/>
            <w:vAlign w:val="bottom"/>
          </w:tcPr>
          <w:p>
            <w:pPr>
              <w:spacing w:after="0"/>
              <w:rPr>
                <w:sz w:val="24"/>
                <w:szCs w:val="24"/>
                <w:color w:val="auto"/>
              </w:rPr>
            </w:pPr>
          </w:p>
        </w:tc>
        <w:tc>
          <w:tcPr>
            <w:tcW w:w="54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Sagimet Biosciences Inc.</w:t>
            </w:r>
          </w:p>
        </w:tc>
        <w:tc>
          <w:tcPr>
            <w:tcW w:w="1680" w:type="dxa"/>
            <w:vAlign w:val="bottom"/>
          </w:tcPr>
          <w:p>
            <w:pPr>
              <w:spacing w:after="0"/>
              <w:rPr>
                <w:sz w:val="24"/>
                <w:szCs w:val="24"/>
                <w:color w:val="auto"/>
              </w:rPr>
            </w:pPr>
          </w:p>
        </w:tc>
      </w:tr>
      <w:tr>
        <w:trPr>
          <w:trHeight w:val="216"/>
        </w:trPr>
        <w:tc>
          <w:tcPr>
            <w:tcW w:w="2140" w:type="dxa"/>
            <w:vAlign w:val="bottom"/>
          </w:tcPr>
          <w:p>
            <w:pPr>
              <w:spacing w:after="0"/>
              <w:rPr>
                <w:sz w:val="18"/>
                <w:szCs w:val="18"/>
                <w:color w:val="auto"/>
              </w:rPr>
            </w:pPr>
          </w:p>
        </w:tc>
        <w:tc>
          <w:tcPr>
            <w:tcW w:w="54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155 Bovet Road, Suite 303,</w:t>
            </w:r>
          </w:p>
        </w:tc>
        <w:tc>
          <w:tcPr>
            <w:tcW w:w="1680" w:type="dxa"/>
            <w:vAlign w:val="bottom"/>
          </w:tcPr>
          <w:p>
            <w:pPr>
              <w:spacing w:after="0"/>
              <w:rPr>
                <w:sz w:val="18"/>
                <w:szCs w:val="18"/>
                <w:color w:val="auto"/>
              </w:rPr>
            </w:pPr>
          </w:p>
        </w:tc>
      </w:tr>
      <w:tr>
        <w:trPr>
          <w:trHeight w:val="216"/>
        </w:trPr>
        <w:tc>
          <w:tcPr>
            <w:tcW w:w="2140" w:type="dxa"/>
            <w:vAlign w:val="bottom"/>
          </w:tcPr>
          <w:p>
            <w:pPr>
              <w:spacing w:after="0"/>
              <w:rPr>
                <w:sz w:val="18"/>
                <w:szCs w:val="18"/>
                <w:color w:val="auto"/>
              </w:rPr>
            </w:pPr>
          </w:p>
        </w:tc>
        <w:tc>
          <w:tcPr>
            <w:tcW w:w="54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San Mateo, California 94402</w:t>
            </w:r>
          </w:p>
        </w:tc>
        <w:tc>
          <w:tcPr>
            <w:tcW w:w="1680" w:type="dxa"/>
            <w:vAlign w:val="bottom"/>
          </w:tcPr>
          <w:p>
            <w:pPr>
              <w:spacing w:after="0"/>
              <w:rPr>
                <w:sz w:val="18"/>
                <w:szCs w:val="18"/>
                <w:color w:val="auto"/>
              </w:rPr>
            </w:pPr>
          </w:p>
        </w:tc>
      </w:tr>
      <w:tr>
        <w:trPr>
          <w:trHeight w:val="238"/>
        </w:trPr>
        <w:tc>
          <w:tcPr>
            <w:tcW w:w="2140" w:type="dxa"/>
            <w:vAlign w:val="bottom"/>
          </w:tcPr>
          <w:p>
            <w:pPr>
              <w:spacing w:after="0"/>
              <w:rPr>
                <w:sz w:val="20"/>
                <w:szCs w:val="20"/>
                <w:color w:val="auto"/>
              </w:rPr>
            </w:pPr>
          </w:p>
        </w:tc>
        <w:tc>
          <w:tcPr>
            <w:tcW w:w="54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including zip code)</w:t>
            </w:r>
          </w:p>
        </w:tc>
        <w:tc>
          <w:tcPr>
            <w:tcW w:w="1680" w:type="dxa"/>
            <w:vAlign w:val="bottom"/>
          </w:tcPr>
          <w:p>
            <w:pPr>
              <w:spacing w:after="0"/>
              <w:rPr>
                <w:sz w:val="20"/>
                <w:szCs w:val="20"/>
                <w:color w:val="auto"/>
              </w:rPr>
            </w:pPr>
          </w:p>
        </w:tc>
      </w:tr>
      <w:tr>
        <w:trPr>
          <w:trHeight w:val="410"/>
        </w:trPr>
        <w:tc>
          <w:tcPr>
            <w:tcW w:w="2140" w:type="dxa"/>
            <w:vAlign w:val="bottom"/>
          </w:tcPr>
          <w:p>
            <w:pPr>
              <w:spacing w:after="0"/>
              <w:rPr>
                <w:sz w:val="24"/>
                <w:szCs w:val="24"/>
                <w:color w:val="auto"/>
              </w:rPr>
            </w:pPr>
          </w:p>
        </w:tc>
        <w:tc>
          <w:tcPr>
            <w:tcW w:w="54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(650) 561-8600</w:t>
            </w:r>
          </w:p>
        </w:tc>
        <w:tc>
          <w:tcPr>
            <w:tcW w:w="1680" w:type="dxa"/>
            <w:vAlign w:val="bottom"/>
          </w:tcPr>
          <w:p>
            <w:pPr>
              <w:spacing w:after="0"/>
              <w:rPr>
                <w:sz w:val="24"/>
                <w:szCs w:val="24"/>
                <w:color w:val="auto"/>
              </w:rPr>
            </w:pPr>
          </w:p>
        </w:tc>
      </w:tr>
      <w:tr>
        <w:trPr>
          <w:trHeight w:val="238"/>
        </w:trPr>
        <w:tc>
          <w:tcPr>
            <w:tcW w:w="2140" w:type="dxa"/>
            <w:vAlign w:val="bottom"/>
          </w:tcPr>
          <w:p>
            <w:pPr>
              <w:spacing w:after="0"/>
              <w:rPr>
                <w:sz w:val="20"/>
                <w:szCs w:val="20"/>
                <w:color w:val="auto"/>
              </w:rPr>
            </w:pPr>
          </w:p>
        </w:tc>
        <w:tc>
          <w:tcPr>
            <w:tcW w:w="54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680" w:type="dxa"/>
            <w:vAlign w:val="bottom"/>
          </w:tcPr>
          <w:p>
            <w:pPr>
              <w:spacing w:after="0"/>
              <w:rPr>
                <w:sz w:val="20"/>
                <w:szCs w:val="20"/>
                <w:color w:val="auto"/>
              </w:rPr>
            </w:pPr>
          </w:p>
        </w:tc>
      </w:tr>
      <w:tr>
        <w:trPr>
          <w:trHeight w:val="410"/>
        </w:trPr>
        <w:tc>
          <w:tcPr>
            <w:tcW w:w="2140" w:type="dxa"/>
            <w:vAlign w:val="bottom"/>
          </w:tcPr>
          <w:p>
            <w:pPr>
              <w:spacing w:after="0"/>
              <w:rPr>
                <w:sz w:val="24"/>
                <w:szCs w:val="24"/>
                <w:color w:val="auto"/>
              </w:rPr>
            </w:pPr>
          </w:p>
        </w:tc>
        <w:tc>
          <w:tcPr>
            <w:tcW w:w="54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680" w:type="dxa"/>
            <w:vAlign w:val="bottom"/>
          </w:tcPr>
          <w:p>
            <w:pPr>
              <w:spacing w:after="0"/>
              <w:rPr>
                <w:sz w:val="24"/>
                <w:szCs w:val="24"/>
                <w:color w:val="auto"/>
              </w:rPr>
            </w:pPr>
          </w:p>
        </w:tc>
      </w:tr>
      <w:tr>
        <w:trPr>
          <w:trHeight w:val="238"/>
        </w:trPr>
        <w:tc>
          <w:tcPr>
            <w:tcW w:w="2140" w:type="dxa"/>
            <w:vAlign w:val="bottom"/>
          </w:tcPr>
          <w:p>
            <w:pPr>
              <w:spacing w:after="0"/>
              <w:rPr>
                <w:sz w:val="20"/>
                <w:szCs w:val="20"/>
                <w:color w:val="auto"/>
              </w:rPr>
            </w:pPr>
          </w:p>
        </w:tc>
        <w:tc>
          <w:tcPr>
            <w:tcW w:w="54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16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310"/>
        </w:trPr>
        <w:tc>
          <w:tcPr>
            <w:tcW w:w="1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Trade</w:t>
            </w:r>
          </w:p>
        </w:tc>
        <w:tc>
          <w:tcPr>
            <w:tcW w:w="1560" w:type="dxa"/>
            <w:vAlign w:val="bottom"/>
            <w:gridSpan w:val="2"/>
          </w:tcPr>
          <w:p>
            <w:pPr>
              <w:spacing w:after="0"/>
              <w:rPr>
                <w:sz w:val="24"/>
                <w:szCs w:val="24"/>
                <w:color w:val="auto"/>
              </w:rPr>
            </w:pPr>
          </w:p>
        </w:tc>
        <w:tc>
          <w:tcPr>
            <w:tcW w:w="3200" w:type="dxa"/>
            <w:vAlign w:val="bottom"/>
          </w:tcPr>
          <w:p>
            <w:pPr>
              <w:spacing w:after="0"/>
              <w:rPr>
                <w:sz w:val="24"/>
                <w:szCs w:val="24"/>
                <w:color w:val="auto"/>
              </w:rPr>
            </w:pPr>
          </w:p>
        </w:tc>
      </w:tr>
      <w:tr>
        <w:trPr>
          <w:trHeight w:val="196"/>
        </w:trPr>
        <w:tc>
          <w:tcPr>
            <w:tcW w:w="1600" w:type="dxa"/>
            <w:vAlign w:val="bottom"/>
          </w:tcPr>
          <w:p>
            <w:pPr>
              <w:spacing w:after="0"/>
              <w:rPr>
                <w:sz w:val="17"/>
                <w:szCs w:val="17"/>
                <w:color w:val="auto"/>
              </w:rPr>
            </w:pPr>
          </w:p>
        </w:tc>
        <w:tc>
          <w:tcPr>
            <w:tcW w:w="3660" w:type="dxa"/>
            <w:vAlign w:val="bottom"/>
            <w:gridSpan w:val="2"/>
          </w:tcPr>
          <w:p>
            <w:pPr>
              <w:jc w:val="center"/>
              <w:ind w:right="2360"/>
              <w:spacing w:after="0" w:line="196"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2140" w:type="dxa"/>
            <w:vAlign w:val="bottom"/>
            <w:gridSpan w:val="4"/>
          </w:tcPr>
          <w:p>
            <w:pPr>
              <w:jc w:val="center"/>
              <w:ind w:right="1400"/>
              <w:spacing w:after="0" w:line="196" w:lineRule="exact"/>
              <w:rPr>
                <w:sz w:val="20"/>
                <w:szCs w:val="20"/>
                <w:color w:val="auto"/>
              </w:rPr>
            </w:pPr>
            <w:r>
              <w:rPr>
                <w:rFonts w:ascii="Times New Roman" w:cs="Times New Roman" w:eastAsia="Times New Roman" w:hAnsi="Times New Roman"/>
                <w:sz w:val="18"/>
                <w:szCs w:val="18"/>
                <w:color w:val="auto"/>
                <w:w w:val="98"/>
              </w:rPr>
              <w:t>Symbol(s)</w:t>
            </w:r>
          </w:p>
        </w:tc>
        <w:tc>
          <w:tcPr>
            <w:tcW w:w="3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0"/>
        </w:trPr>
        <w:tc>
          <w:tcPr>
            <w:tcW w:w="16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r>
      <w:tr>
        <w:trPr>
          <w:trHeight w:val="236"/>
        </w:trPr>
        <w:tc>
          <w:tcPr>
            <w:tcW w:w="5260" w:type="dxa"/>
            <w:vAlign w:val="bottom"/>
            <w:gridSpan w:val="3"/>
          </w:tcPr>
          <w:p>
            <w:pPr>
              <w:jc w:val="center"/>
              <w:ind w:right="760"/>
              <w:spacing w:after="0"/>
              <w:rPr>
                <w:sz w:val="20"/>
                <w:szCs w:val="20"/>
                <w:color w:val="auto"/>
              </w:rPr>
            </w:pPr>
            <w:r>
              <w:rPr>
                <w:rFonts w:ascii="Times New Roman" w:cs="Times New Roman" w:eastAsia="Times New Roman" w:hAnsi="Times New Roman"/>
                <w:sz w:val="18"/>
                <w:szCs w:val="18"/>
                <w:color w:val="auto"/>
                <w:w w:val="99"/>
              </w:rPr>
              <w:t>Series A Common Stock, $0.0001 par value per share</w:t>
            </w:r>
          </w:p>
        </w:tc>
        <w:tc>
          <w:tcPr>
            <w:tcW w:w="2140" w:type="dxa"/>
            <w:vAlign w:val="bottom"/>
            <w:gridSpan w:val="4"/>
          </w:tcPr>
          <w:p>
            <w:pPr>
              <w:jc w:val="center"/>
              <w:ind w:right="1400"/>
              <w:spacing w:after="0"/>
              <w:rPr>
                <w:sz w:val="20"/>
                <w:szCs w:val="20"/>
                <w:color w:val="auto"/>
              </w:rPr>
            </w:pPr>
            <w:r>
              <w:rPr>
                <w:rFonts w:ascii="Times New Roman" w:cs="Times New Roman" w:eastAsia="Times New Roman" w:hAnsi="Times New Roman"/>
                <w:sz w:val="18"/>
                <w:szCs w:val="18"/>
                <w:color w:val="auto"/>
                <w:w w:val="99"/>
              </w:rPr>
              <w:t>SGMT</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98"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144"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402590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484" w:right="499" w:bottom="1440" w:gutter="0" w:footer="0" w:header="0"/>
        </w:sectPr>
      </w:pPr>
    </w:p>
    <w:bookmarkStart w:id="1" w:name="page2"/>
    <w:bookmarkEnd w:id="1"/>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Sagimet Biosciences Inc. (the “Company”) filed a Current Report on Form 8-K on June 6, 2024 in connection with a press release announcing the presentation of positive data from its FASCINATE-2 Phase 2b clinical trial of denifanstat versus placebo in biopsy-confirmed metabolic dysfunction-associated steatohepatitis (MASH) patients at the European Association for the Study of the Liver (EASL) Congress 2024 (the “Original 8-K”). This Amendment No. 1 to the Original 8-K is being filed to correct typographical errors in the press release and file a copy of the revised press release as Exhibit 99.1, and no changes to the other information filed with the Original Form 8-K have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60"/>
          </w:cols>
          <w:pgMar w:left="320" w:top="900" w:right="819" w:bottom="1440" w:gutter="0" w:footer="0" w:header="0"/>
        </w:sectPr>
      </w:pPr>
    </w:p>
    <w:bookmarkStart w:id="2" w:name="page3"/>
    <w:bookmarkEnd w:id="2"/>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On June 6, 2024, the Company filed a Current Report on Form 8-K announcing that the Company issued a press release regarding its presentation of positive data from its FASCINATE-2 Phase 2b clinical trial of denifanstat versus placebo in biopsy-confirmed metabolic dysfunction-associated steatohepatitis (MASH) patients at the European Association for the Study of the Liver (EASL) Congress 2024. The press release was revised to correct typographical errors as discussed in the Explanatory Note and a copy of the revised press release is attached as Exhibit 99.1 to this Current Report on Form 8-K and is incorporated herein by reference.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2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414"/>
        </w:trPr>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Exhibit</w:t>
            </w:r>
          </w:p>
        </w:tc>
        <w:tc>
          <w:tcPr>
            <w:tcW w:w="2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234"/>
        </w:trPr>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7"/>
              </w:rPr>
              <w:t>No.</w:t>
            </w:r>
          </w:p>
        </w:tc>
        <w:tc>
          <w:tcPr>
            <w:tcW w:w="220" w:type="dxa"/>
            <w:vAlign w:val="bottom"/>
          </w:tcPr>
          <w:p>
            <w:pPr>
              <w:spacing w:after="0"/>
              <w:rPr>
                <w:sz w:val="20"/>
                <w:szCs w:val="20"/>
                <w:color w:val="auto"/>
              </w:rPr>
            </w:pPr>
          </w:p>
        </w:tc>
        <w:tc>
          <w:tcPr>
            <w:tcW w:w="9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Document</w:t>
            </w:r>
          </w:p>
        </w:tc>
      </w:tr>
      <w:tr>
        <w:trPr>
          <w:trHeight w:val="169"/>
        </w:trPr>
        <w:tc>
          <w:tcPr>
            <w:tcW w:w="114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14"/>
                <w:szCs w:val="14"/>
                <w:color w:val="auto"/>
              </w:rPr>
            </w:pPr>
          </w:p>
        </w:tc>
        <w:tc>
          <w:tcPr>
            <w:tcW w:w="988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Revised Press Release of Sagimet Biosciences Inc., dated June 6, 2024.</w:t>
            </w:r>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140" w:type="dxa"/>
            <w:vAlign w:val="bottom"/>
            <w:shd w:val="clear" w:color="auto" w:fill="0000EE"/>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Sagimet Biosciences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13, 2024</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David Happel</w:t>
            </w:r>
          </w:p>
        </w:tc>
      </w:tr>
      <w:tr>
        <w:trPr>
          <w:trHeight w:val="191"/>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David Happel</w:t>
            </w: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75"/>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2143125" cy="8229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43125"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Sagimet Biosciences Presents Data from ITT and F3 Patient Population in Phase 2b FASCINATE-2 Clinical Trial of Denifanstat at EASL International Liver Congress 2024</w:t>
      </w:r>
    </w:p>
    <w:p>
      <w:pPr>
        <w:spacing w:after="0" w:line="157"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Denifanstat achieved statistically significant results on primary and secondary liver biopsy endpoints in the ITT population, including both histology endpoints recommended in the FDA draft guidance for accelerated approval in MASH</w:t>
      </w:r>
    </w:p>
    <w:p>
      <w:pPr>
        <w:spacing w:after="0" w:line="158"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Denifanstat showed a statistically significant improvement in liver fibrosis ≥1-stage without worsening of MASH in ITT population, including in patients with baseline stage 3 fibrosis</w:t>
      </w:r>
    </w:p>
    <w:p>
      <w:pPr>
        <w:spacing w:after="0" w:line="158" w:lineRule="exact"/>
        <w:rPr>
          <w:sz w:val="20"/>
          <w:szCs w:val="20"/>
          <w:color w:val="auto"/>
        </w:rPr>
      </w:pPr>
    </w:p>
    <w:p>
      <w:pPr>
        <w:jc w:val="center"/>
        <w:ind w:left="340" w:right="20"/>
        <w:spacing w:after="0" w:line="284" w:lineRule="auto"/>
        <w:rPr>
          <w:sz w:val="20"/>
          <w:szCs w:val="20"/>
          <w:color w:val="auto"/>
        </w:rPr>
      </w:pPr>
      <w:r>
        <w:rPr>
          <w:rFonts w:ascii="Times New Roman" w:cs="Times New Roman" w:eastAsia="Times New Roman" w:hAnsi="Times New Roman"/>
          <w:sz w:val="18"/>
          <w:szCs w:val="18"/>
          <w:i w:val="1"/>
          <w:iCs w:val="1"/>
          <w:color w:val="auto"/>
        </w:rPr>
        <w:t>Statistical significance also shown in improvement of liver fibrosis ≥2-stage without worsening of MASH in the mITT population, including in patients with stage 3 fibrosis</w:t>
      </w:r>
    </w:p>
    <w:p>
      <w:pPr>
        <w:spacing w:after="0" w:line="15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i w:val="1"/>
          <w:iCs w:val="1"/>
          <w:color w:val="auto"/>
        </w:rPr>
        <w:t>Tripalmitin, a biomarker of denifanstat activity, showed an early and sustained reduction in de novo lipogenesis at 4-weeks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Safety in the ITT population showed denifanstat was generally well tolerated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Management to host live webcast with Principal Investigator Dr. Rohit Loomba at 9:30 AM PT (12:30 PM ET) on Thursday, June 13, 2023</w:t>
      </w:r>
    </w:p>
    <w:p>
      <w:pPr>
        <w:spacing w:after="0" w:line="2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SAN MATEO, Calif., June 6, 2024 (GLOBE NEWSWIRE) -- Sagimet Biosciences Inc. (Sagimet, Nasdaq: SGMT), a clinical-stage biopharmaceutical company developing novel fatty acid synthase (FASN) inhibitors designed to target dysfunctional metabolic and fibrotic pathways, presented positive data from its FASCINATE-2 Phase 2b clinical trial of denifanstat versus placebo in biopsy-confirmed metabolic dysfunction-associated steatohepatitis (MASH) patients at the European Association for the Study of the Liver (EASL) Congress being held in Milan, Italy. Sagimet’s lead drug candidate, denifanstat, is an oral, once-daily pill and selective FASN inhibitor in development for the treatment of MASH.</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presentation of the FASCINATE-2 study data shows the strong impact of denifanstat, a novel therapeutic designed to reduce the three main drivers of MASH - fat accumulation, inflammation, and fibrosis. The week 52 data on the improvement of fibrosis both by ≥ 1 and ≥ 2 stages, particularly in the F3 patient population, are very encouraging and differentiate denifanstat,” said Dave Happel, Chief Executive Officer of Sagimet. “Our focus now shifts to initiating our Phase 3 registrational program for the development of denifanstat in MASH with fibrosis in the second half of this year.”</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 xml:space="preserve">Positive top line data was announced for the FASCINATE-2 Phase 2b study on January 22, 2024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 In the EASL presentation, additional 52-week ITT and F3 subgroup efficacy data included:</w:t>
      </w:r>
    </w:p>
    <w:p>
      <w:pPr>
        <w:spacing w:after="0" w:line="162" w:lineRule="exact"/>
        <w:rPr>
          <w:sz w:val="20"/>
          <w:szCs w:val="20"/>
          <w:color w:val="auto"/>
        </w:rPr>
      </w:pPr>
    </w:p>
    <w:p>
      <w:pPr>
        <w:ind w:left="1300" w:right="180" w:hanging="320"/>
        <w:spacing w:after="0" w:line="266"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primary endpoint of ≥2-point reduction in NAS (NAFLD Activity Score) without worsening of fibrosis (16% placebo vs 38% with denifanstat, p=0.0035) or MASH resolution with ≥2-point reduction in NAS resolution without worsening of fibrosis (11% placebo vs 26% with denifanstat, p=0.0173) in the intention to treat (ITT) population.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p>
      <w:pPr>
        <w:ind w:left="1300" w:right="40" w:hanging="320"/>
        <w:spacing w:after="0" w:line="261"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Secondary endpoints of fibrosis improvement by ≥ 1 stage with no worsening of MASH in the ITT (14% placebo vs 30% with denifanstat, p=0.0199) and F3 (13% placebo vs 49% with denifanstat, p=0.0032) populations, and fibrosis improvement by ≥ 2 stages with no worsening of MASH in the mITT (2% placebo vs 20% with denifanstat, p=0.0065) and F3 (4% placebo vs 34% with denifanstat, p=0.0050) populations.</w:t>
      </w:r>
    </w:p>
    <w:p>
      <w:pPr>
        <w:spacing w:after="0" w:line="179" w:lineRule="exact"/>
        <w:rPr>
          <w:rFonts w:ascii="Times New Roman" w:cs="Times New Roman" w:eastAsia="Times New Roman" w:hAnsi="Times New Roman"/>
          <w:sz w:val="18"/>
          <w:szCs w:val="18"/>
          <w:color w:val="auto"/>
        </w:rPr>
      </w:pPr>
    </w:p>
    <w:p>
      <w:pPr>
        <w:ind w:left="1300" w:right="660" w:hanging="320"/>
        <w:spacing w:after="0" w:line="282"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on significant increase in beneficial polyunsaturated triglycerides at the end of 52 week of treatment (-4% placebo vs +42% denifanstat, p&lt;0.001) in the mITT population.</w:t>
      </w:r>
    </w:p>
    <w:p>
      <w:pPr>
        <w:spacing w:after="0" w:line="161"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biomarker of denifanstat activity (tripalmitin) showed an early and sustained reduction in de novo lipogenesis at 4-weeks (-0.4ug/mL placebo vs -2.4ug/ml with denifanstat, p=0.001) and 13-weeks (-0.1ug/mL placebo vs -2.1ug/mL with denifanstat, p=0.005) in the mITT population.</w:t>
      </w:r>
    </w:p>
    <w:p>
      <w:pPr>
        <w:spacing w:after="0" w:line="17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“Denifanstat is the only FASN inhibitor currently in clinical development for MASH,” commented Rohit Loomba, M.D., M.H.Sc., Professor of Medicine, Chief, Division of Gastroenterology and Hepatology, and Director, MASLD Research Center, University of California San Diego, who serves as a scientific advisor for Sagimet on its ongoing development of denifanstat. “After one year of treatment, denifanstat was significantly better than placebo for both MASH resolution without worsening of fibrosis as well as 1 stage or greater improvements in fibrosis stage. As an oral small molecule, denifanstat shows robust improvements in patients with F3 fibrosis which supports its continued development in patients with moderate to advanced fibrosis due to MASH.”</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Endpoints and Improvements From FASCINATE-2 Reported at EASL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Patient</w:t>
            </w: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Denifanstat</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Population</w:t>
            </w:r>
          </w:p>
        </w:tc>
        <w:tc>
          <w:tcPr>
            <w:tcW w:w="14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50 mg</w:t>
            </w:r>
          </w:p>
        </w:tc>
        <w:tc>
          <w:tcPr>
            <w:tcW w:w="14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Placebo</w:t>
            </w: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P-value vs placebo</w:t>
            </w: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Primary Endpoints</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2-point decrease in NAS without worsening of fibrosis</w:t>
            </w: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ITT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15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0.0035</w:t>
            </w:r>
          </w:p>
        </w:tc>
      </w:tr>
      <w:tr>
        <w:trPr>
          <w:trHeight w:val="198"/>
        </w:trPr>
        <w:tc>
          <w:tcPr>
            <w:tcW w:w="54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w w:val="99"/>
              </w:rPr>
              <w:t>MASH resolution without worsening of fibrosis with ≥2-point reduction</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 NAS</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ITT</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1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0.0173</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Endpoints</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Improvement of fibrosis by ≥ 1 stage with no worsening of MASH</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ITT</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1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0.0199</w:t>
            </w:r>
          </w:p>
        </w:tc>
      </w:tr>
      <w:tr>
        <w:trPr>
          <w:trHeight w:val="216"/>
        </w:trPr>
        <w:tc>
          <w:tcPr>
            <w:tcW w:w="5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mITT- F3</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1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0.0032</w:t>
            </w:r>
          </w:p>
        </w:tc>
      </w:tr>
      <w:tr>
        <w:trPr>
          <w:trHeight w:val="198"/>
        </w:trPr>
        <w:tc>
          <w:tcPr>
            <w:tcW w:w="54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Improvement of fibrosis by ≥ 2 stage  with no worsening of MASH</w:t>
            </w:r>
          </w:p>
        </w:tc>
        <w:tc>
          <w:tcPr>
            <w:tcW w:w="120" w:type="dxa"/>
            <w:vAlign w:val="bottom"/>
          </w:tcPr>
          <w:p>
            <w:pPr>
              <w:spacing w:after="0"/>
              <w:rPr>
                <w:sz w:val="17"/>
                <w:szCs w:val="17"/>
                <w:color w:val="auto"/>
              </w:rPr>
            </w:pPr>
          </w:p>
        </w:tc>
        <w:tc>
          <w:tcPr>
            <w:tcW w:w="122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mITT</w:t>
            </w:r>
          </w:p>
        </w:tc>
        <w:tc>
          <w:tcPr>
            <w:tcW w:w="1480" w:type="dxa"/>
            <w:vAlign w:val="bottom"/>
            <w:gridSpan w:val="2"/>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20%</w:t>
            </w:r>
          </w:p>
        </w:tc>
        <w:tc>
          <w:tcPr>
            <w:tcW w:w="1440" w:type="dxa"/>
            <w:vAlign w:val="bottom"/>
            <w:gridSpan w:val="2"/>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2%</w:t>
            </w:r>
          </w:p>
        </w:tc>
        <w:tc>
          <w:tcPr>
            <w:tcW w:w="1580" w:type="dxa"/>
            <w:vAlign w:val="bottom"/>
            <w:gridSpan w:val="3"/>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0.0065</w:t>
            </w:r>
          </w:p>
        </w:tc>
      </w:tr>
      <w:tr>
        <w:trPr>
          <w:trHeight w:val="234"/>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mITT- F3</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15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0.0050</w:t>
            </w: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Polyunsaturated Triglycerides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mITT</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1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&lt;0.001</w:t>
            </w:r>
          </w:p>
        </w:tc>
      </w:tr>
      <w:tr>
        <w:trPr>
          <w:trHeight w:val="234"/>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Tripalmitin*</w:t>
            </w:r>
          </w:p>
        </w:tc>
        <w:tc>
          <w:tcPr>
            <w:tcW w:w="120" w:type="dxa"/>
            <w:vAlign w:val="bottom"/>
          </w:tcPr>
          <w:p>
            <w:pPr>
              <w:spacing w:after="0"/>
              <w:rPr>
                <w:sz w:val="20"/>
                <w:szCs w:val="20"/>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mITT</w:t>
            </w: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-2.1ug/mL</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-0.1ug/mL</w:t>
            </w:r>
          </w:p>
        </w:tc>
        <w:tc>
          <w:tcPr>
            <w:tcW w:w="15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0.005</w:t>
            </w:r>
          </w:p>
        </w:tc>
      </w:tr>
      <w:tr>
        <w:trPr>
          <w:trHeight w:val="630"/>
        </w:trPr>
        <w:tc>
          <w:tcPr>
            <w:tcW w:w="5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6" w:name="page7"/>
    <w:bookmarkEnd w:id="6"/>
    <w:p>
      <w:pPr>
        <w:ind w:right="20"/>
        <w:spacing w:after="0" w:line="262" w:lineRule="auto"/>
        <w:rPr>
          <w:sz w:val="20"/>
          <w:szCs w:val="20"/>
          <w:color w:val="auto"/>
        </w:rPr>
      </w:pPr>
      <w:r>
        <w:rPr>
          <w:rFonts w:ascii="Times New Roman" w:cs="Times New Roman" w:eastAsia="Times New Roman" w:hAnsi="Times New Roman"/>
          <w:sz w:val="18"/>
          <w:szCs w:val="18"/>
          <w:i w:val="1"/>
          <w:iCs w:val="1"/>
          <w:color w:val="auto"/>
        </w:rPr>
        <w:t>Modified intent-to-treat population (mITT) includes all patients with paired biopsies, n=81 denifanstat, n=45 placebo; ITT population: n =112 denifanstat, n=56 placebo.</w:t>
      </w:r>
    </w:p>
    <w:p>
      <w:pPr>
        <w:spacing w:after="0"/>
        <w:rPr>
          <w:sz w:val="20"/>
          <w:szCs w:val="20"/>
          <w:color w:val="auto"/>
        </w:rPr>
      </w:pPr>
      <w:r>
        <w:rPr>
          <w:rFonts w:ascii="Times New Roman" w:cs="Times New Roman" w:eastAsia="Times New Roman" w:hAnsi="Times New Roman"/>
          <w:sz w:val="18"/>
          <w:szCs w:val="18"/>
          <w:i w:val="1"/>
          <w:iCs w:val="1"/>
          <w:color w:val="auto"/>
        </w:rPr>
        <w:t>*13-week timepoint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Safety and Tolerability</w:t>
      </w:r>
    </w:p>
    <w:p>
      <w:pPr>
        <w:spacing w:after="0" w:line="229"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As in prior studies, no treatment-related serious adverse events (SAEs) were observed, and the majority of adverse events (AEs) were mild to moderate in nature (Grades 1 and 2). There were no Grade ≥3 treatment-related AEs, and no drug-induced liver injury (DILI) signal in the study. The most common treatment-related AEs by system organ class (observed in ≥5% of patients in the study) were eye disorders (denifanstat 15.2%, placebo 16.1%), gastrointestinal disorders (denifanstat 11.6%, placebo 8.9%), and skin and subcutaneous tissue disorders (denifanstat 22.3%, placebo 7.1%). The incidence of treatment emergent adverse events (TEAEs) leading to treatment discontinuation was 19.6% in the denifanstat group compared to 5.4% in placebo.</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Webcast Information</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Management will host a live webcast with Principal Investigator Dr. Rohit Loomba at 9:30 AM PT (12:30 PM ET) on Thursday, June 13, 2024 to discuss the data; participants will have the opportunity to participate in a chat-based Q&amp;A session. The webcast will be available in the Events &amp; Presentation section of Sagimet’s website at </w:t>
      </w:r>
      <w:r>
        <w:rPr>
          <w:rFonts w:ascii="Times New Roman" w:cs="Times New Roman" w:eastAsia="Times New Roman" w:hAnsi="Times New Roman"/>
          <w:sz w:val="18"/>
          <w:szCs w:val="18"/>
          <w:u w:val="single" w:color="auto"/>
          <w:color w:val="auto"/>
        </w:rPr>
        <w:t>www.sagimet.com</w:t>
      </w:r>
      <w:r>
        <w:rPr>
          <w:rFonts w:ascii="Times New Roman" w:cs="Times New Roman" w:eastAsia="Times New Roman" w:hAnsi="Times New Roman"/>
          <w:sz w:val="18"/>
          <w:szCs w:val="18"/>
          <w:color w:val="auto"/>
        </w:rPr>
        <w:t xml:space="preserve">, with an archived replay available for approximately 90 days following the event. Dr. Loomba’s full curriculum vitae (CV) and disclosure of conflicts of interest (COI) can be found in the EASL presentation which is available in the Posters &amp; Publications section of Sagimet’s website at </w:t>
      </w:r>
      <w:r>
        <w:rPr>
          <w:rFonts w:ascii="Times New Roman" w:cs="Times New Roman" w:eastAsia="Times New Roman" w:hAnsi="Times New Roman"/>
          <w:sz w:val="18"/>
          <w:szCs w:val="18"/>
          <w:u w:val="single" w:color="auto"/>
          <w:color w:val="auto"/>
        </w:rPr>
        <w:t>www.sagimet.com</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Phase 2b FASCINATE-2 Clinical Trial</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Phase 2b FASCINATE-2 clinical trial was a 52-week randomized, double-blind, placebo-controlled trial that evaluated the safety and histological impact of denifanstat compared to placebo in 168 biopsy-confirmed MASH patients with moderate-to-severe fibrosis (stage F2 or F3) with NAS ≥4. Patients were randomized 2:1 to receive 50 mg denifanstat or placebo, taken orally once daily. An end-of-trial biopsy was assessed by a central pathologist for histological endpoints. Liver biopsies were also analyzed using AI-based digital pathology.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Sagimet Biosciences</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 xml:space="preserve">Sagimet is a clinical-stage biopharmaceutical company developing novel fatty acid synthase (FASN) inhibitors that are designed to target dysfunctional metabolic pathways in diseases resulting from the overproduction of the fatty acid, palmitate. Sagimet’s lead drug candidate, denifanstat, is an oral, once-daily pill and selective FASN inhibitor in development for the treatment of MASH. FASCINATE-2, a Phase 2b clinical trial of denifanstat in MASH with liver biopsy-based primary endpoints, was successfully completed with positive results. For additional information about Sagimet, please visit </w:t>
      </w:r>
      <w:r>
        <w:rPr>
          <w:rFonts w:ascii="Times New Roman" w:cs="Times New Roman" w:eastAsia="Times New Roman" w:hAnsi="Times New Roman"/>
          <w:sz w:val="18"/>
          <w:szCs w:val="18"/>
          <w:u w:val="single" w:color="auto"/>
          <w:color w:val="auto"/>
        </w:rPr>
        <w:t>www.sagimet.com</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MASH</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MASH is a progressive and severe liver disease which is estimated to impact more than 115 million people worldwide, for which there is only one recently approved treatment in the United States and no currently approved treatments in Europe. In 2023, global liver disease medical societies and patient groups formalized the decision to rename non-alcoholic fatty liver disease (NAFLD) to metabolic dysfunction-associated steatotic liver disease (MASLD) and nonalcoholic steatohepatitis (NASH) to metabolic dysfunction-associated steatohepatitis (MASH). Additionally, an overarching term, steatotic liver disease (SLD), was established to capture multiple types of liver diseases associated with fat buildup in the liver. The goal of the name change was to establish an affirmative, non-stigmatizing name and diagnosis.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and made pursuant to the safe harbor provisions of, The Private Securities Litigation Reform Act of 1995. All statements contained in this press release, other than statements of historical facts or statements that relate to present facts or current conditions, including but not limited to, statements regarding: the expected timing of the presentation of data from ongoing clinical trials, Sagimet’s clinical development plans and related anticipated development milestones, Sagimet’s cash and financial resources and expected cash runway. These statements involve known and unknown risks, uncertainties and other important factors that may cause Sagimet’s actual results, performance or achievements to be materially different from any future results, performance or achievements expressed or implied by the forward-looking statements. In some cases, these statements can be identified by terms such as “may,” “might,” “will,” “should,” “expect,” “plan,” “aim,” “seek,” “anticipate,” “could,” “intend,” “target,” “project,” “contemplate,” “believe,” “estimate,” “predict,” “forecast,” “potential” or “continue” or the negative of these terms or other similar expressions.</w:t>
      </w:r>
    </w:p>
    <w:p>
      <w:pPr>
        <w:spacing w:after="0" w:line="18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forward-looking statements in this press release are only predictions. Sagimet has based these forward-looking statements largely on its current expectations and projections about future events and financial trends that Sagimet believes may affect its business, financial condition and results of operations. These forward-looking statements speak only as of the date of this press release and are subject to a number of risks, uncertainties and assumptions, some of which cannot be predicted or quantified and some of which are beyond Sagimet’s control, including, among others: the clinical development and therapeutic potential of denifanstat or any other drug candidates Sagimet may develop; Sagimet’s ability to advance drug candidates into and successfully complete clinical trials, including its FASCINATE-2 Phase 3 clinical trial; Sagimet’s relationship with Ascletis, and the success of its development efforts for denifanstat; the accuracy of Sagimet’s estimates regarding its capital requirements; and Sagimet’s ability to maintain and successfully enforce adequate intellectual property protection. These and other risks and uncertainties are described more fully in the “Risk Factors” section of Sagimet’s most recent filings with the Securities and Exchange Commission and available at www.sec.gov. You should not rely on these forward-looking statements as predictions of future events. The events and circumstances reflected in these forward-looking statements may not be achieved or occur, and actual results could differ materially from those projected in the forward-looking statements. Moreover, Sagimet operates in a dynamic industry and economy. New risk factors and uncertainties may emerge from time to time, and it is not possible for management to predict all risk factors and uncertainties that Sagimet may face. Except as required by applicable law, Sagimet does not plan to publicly update or revise any forward-looking statements contained herein, whether as a result of any new information, future events, changed circumstances or otherwise.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A1818"/>
        </w:rPr>
        <w:t>Joyce Allaire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A1818"/>
        </w:rPr>
        <w:t>LifeSci Advisors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JAllaire@lifesciadvisors.com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2024-06-13T05:13:40Z</dcterms:created>
  <dcterms:modified xsi:type="dcterms:W3CDTF">2024-06-13T05:13:40Z</dcterms:modified>
</cp:coreProperties>
</file>