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484d424b3.htm"/>
      <w:bookmarkStart w:id="1" w:name="ksd14484d424b3"/>
      <w:bookmarkEnd w:id="0"/>
      <w:bookmarkEnd w:id="1"/>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333-281582 </w:t>
      </w:r>
    </w:p>
    <w:p>
      <w:pPr>
        <w:pStyle w:val="TextBody"/>
        <w:bidi w:val="0"/>
        <w:spacing w:before="240" w:after="0"/>
        <w:jc w:val="left"/>
        <w:rPr>
          <w:rFonts w:ascii="Times New Roman" w:hAnsi="Times New Roman"/>
          <w:b/>
          <w:sz w:val="20"/>
        </w:rPr>
      </w:pPr>
      <w:r>
        <w:rPr>
          <w:rFonts w:ascii="Times New Roman" w:hAnsi="Times New Roman"/>
          <w:b/>
          <w:sz w:val="20"/>
        </w:rPr>
        <w:t xml:space="preserve">SUPPLEMENT NO 1. DATED September 30, 2026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SUPPLEMENT DATED August 14, 2025 </w:t>
      </w:r>
    </w:p>
    <w:p>
      <w:pPr>
        <w:pStyle w:val="TextBody"/>
        <w:bidi w:val="0"/>
        <w:spacing w:before="0" w:after="0"/>
        <w:jc w:val="left"/>
        <w:rPr>
          <w:rFonts w:ascii="Times New Roman" w:hAnsi="Times New Roman"/>
          <w:b/>
          <w:sz w:val="20"/>
        </w:rPr>
      </w:pPr>
      <w:r>
        <w:rPr>
          <w:rFonts w:ascii="Times New Roman" w:hAnsi="Times New Roman"/>
          <w:b/>
          <w:sz w:val="20"/>
        </w:rPr>
        <w:t>(To Prospectus dated August 26, 2024)</w:t>
      </w:r>
    </w:p>
    <w:p>
      <w:pPr>
        <w:pStyle w:val="TextBody"/>
        <w:bidi w:val="0"/>
        <w:spacing w:before="0" w:after="0"/>
        <w:jc w:val="left"/>
        <w:rPr/>
      </w:pPr>
      <w:r>
        <w:rPr/>
        <w:t> </w:t>
      </w:r>
    </w:p>
    <w:p>
      <w:pPr>
        <w:pStyle w:val="TextBody"/>
        <w:bidi w:val="0"/>
        <w:spacing w:before="0" w:after="0"/>
        <w:jc w:val="center"/>
        <w:rPr/>
      </w:pPr>
      <w:r>
        <w:rPr/>
        <w:drawing>
          <wp:inline distT="0" distB="0" distL="0" distR="0">
            <wp:extent cx="300990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9900" cy="1162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No. 1 to Prospectus Supplement (this “Supplement”) supplements and amends the Prospectus Supplement dated August 14, 2025 (the “Prospectus Supplement”). This Supplement should be read in conjunction with the Prospectus Supplement and the accompanying base prospectus (the “Prospectus”). This Supplement is qualified by reference to the Prospectus Supplement, except to the extent that the information presented herein supersedes the information contained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2025, we entered into a Sales Agreement (the “Sales Agreement”) with Leerink Partners LLC (“Leerink Partners”) relating to shares of our Series A common stock, par value $0.0001 per share (the “Common Stock”), offered by the Prospectus Supplement and the accompanying Prospectus. In accordance with the terms of the Sales Agreement, we may offer and sell shares of Common Stock from time to time through Leerink Partners, acting as our sales agent, pursuant to at-the-market transactions (the “ATM”). As of the date of this Supplement, we have not sold any shares of Common Stock pursuant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Supplement is to suspend the ATM and to terminate the continuous offering by us under the Prospectus Supplement, effective on September 30, 2026. We will not make any sales of Common Stock pursuant to the Sales Agreement unless and until a new prospectus supplement is filed with the Securities and Exchange Commission; however, the Sales Agreement remains in full force and effect. </w:t>
      </w:r>
    </w:p>
    <w:p>
      <w:pPr>
        <w:pStyle w:val="TextBody"/>
        <w:bidi w:val="0"/>
        <w:spacing w:before="24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Supplement No. 1 to Prospectus Supplement is September 30,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314</Words>
  <Characters>1745</Characters>
  <CharactersWithSpaces>2063</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