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4742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742180"/>
                    </a:xfrm>
                    <a:prstGeom prst="rect">
                      <a:avLst/>
                    </a:prstGeom>
                    <a:noFill/>
                  </pic:spPr>
                </pic:pic>
              </a:graphicData>
            </a:graphic>
          </wp:anchor>
        </w:drawing>
      </w:r>
    </w:p>
    <w:p>
      <w:pPr>
        <w:spacing w:after="0" w:line="1181"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460" w:type="dxa"/>
            <w:vAlign w:val="bottom"/>
            <w:gridSpan w:val="4"/>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Hoelscher Paul W.</w:t>
              </w:r>
            </w:hyperlink>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tcPr>
          <w:p>
            <w:pPr>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Sagimet Biosciences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SGMT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2460" w:type="dxa"/>
            <w:vAlign w:val="bottom"/>
            <w:gridSpan w:val="4"/>
            <w:vMerge w:val="continue"/>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80" w:type="dxa"/>
            <w:vAlign w:val="bottom"/>
            <w:tcBorders>
              <w:bottom w:val="single" w:sz="8" w:color="0000EE"/>
            </w:tcBorders>
          </w:tcPr>
          <w:p>
            <w:pPr>
              <w:spacing w:after="0"/>
              <w:rPr>
                <w:sz w:val="6"/>
                <w:szCs w:val="6"/>
                <w:color w:val="auto"/>
              </w:rPr>
            </w:pPr>
          </w:p>
        </w:tc>
        <w:tc>
          <w:tcPr>
            <w:tcW w:w="168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2460" w:type="dxa"/>
            <w:vAlign w:val="bottom"/>
            <w:gridSpan w:val="4"/>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80" w:type="dxa"/>
            <w:vAlign w:val="bottom"/>
          </w:tcPr>
          <w:p>
            <w:pPr>
              <w:spacing w:after="0"/>
              <w:rPr>
                <w:sz w:val="5"/>
                <w:szCs w:val="5"/>
                <w:color w:val="auto"/>
              </w:rPr>
            </w:pPr>
          </w:p>
        </w:tc>
        <w:tc>
          <w:tcPr>
            <w:tcW w:w="168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760" w:type="dxa"/>
            <w:vAlign w:val="bottom"/>
            <w:tcBorders>
              <w:top w:val="single" w:sz="8" w:color="0000EE"/>
            </w:tcBorders>
          </w:tcPr>
          <w:p>
            <w:pPr>
              <w:spacing w:after="0"/>
              <w:rPr>
                <w:sz w:val="6"/>
                <w:szCs w:val="6"/>
                <w:color w:val="auto"/>
              </w:rPr>
            </w:pPr>
          </w:p>
        </w:tc>
        <w:tc>
          <w:tcPr>
            <w:tcW w:w="9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80" w:type="dxa"/>
            <w:vAlign w:val="bottom"/>
          </w:tcPr>
          <w:p>
            <w:pPr>
              <w:spacing w:after="0"/>
              <w:rPr>
                <w:sz w:val="6"/>
                <w:szCs w:val="6"/>
                <w:color w:val="auto"/>
              </w:rPr>
            </w:pPr>
          </w:p>
        </w:tc>
        <w:tc>
          <w:tcPr>
            <w:tcW w:w="168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90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760" w:type="dxa"/>
            <w:vAlign w:val="bottom"/>
            <w:tcBorders>
              <w:top w:val="single" w:sz="8" w:color="EEEEEE"/>
            </w:tcBorders>
          </w:tcPr>
          <w:p>
            <w:pPr>
              <w:spacing w:after="0"/>
              <w:rPr>
                <w:sz w:val="2"/>
                <w:szCs w:val="2"/>
                <w:color w:val="auto"/>
              </w:rPr>
            </w:pPr>
          </w:p>
        </w:tc>
        <w:tc>
          <w:tcPr>
            <w:tcW w:w="90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66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29"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660" w:type="dxa"/>
            <w:vAlign w:val="bottom"/>
            <w:gridSpan w:val="2"/>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224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06/12/2026</w:t>
            </w:r>
          </w:p>
        </w:tc>
        <w:tc>
          <w:tcPr>
            <w:tcW w:w="168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4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SAGIMET BIOSCIENCES INC.</w:t>
            </w:r>
          </w:p>
        </w:tc>
        <w:tc>
          <w:tcPr>
            <w:tcW w:w="1200" w:type="dxa"/>
            <w:vAlign w:val="bottom"/>
          </w:tcPr>
          <w:p>
            <w:pPr>
              <w:spacing w:after="0"/>
              <w:rPr>
                <w:sz w:val="10"/>
                <w:szCs w:val="10"/>
                <w:color w:val="auto"/>
              </w:rPr>
            </w:pPr>
          </w:p>
        </w:tc>
        <w:tc>
          <w:tcPr>
            <w:tcW w:w="2240" w:type="dxa"/>
            <w:vAlign w:val="bottom"/>
            <w:gridSpan w:val="3"/>
            <w:vMerge w:val="continue"/>
          </w:tcPr>
          <w:p>
            <w:pPr>
              <w:spacing w:after="0"/>
              <w:rPr>
                <w:sz w:val="10"/>
                <w:szCs w:val="10"/>
                <w:color w:val="auto"/>
              </w:rPr>
            </w:pPr>
          </w:p>
        </w:tc>
        <w:tc>
          <w:tcPr>
            <w:tcW w:w="168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60" w:type="dxa"/>
            <w:vAlign w:val="bottom"/>
            <w:gridSpan w:val="4"/>
            <w:vMerge w:val="continue"/>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4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155 BOVET ROAD, SUITE 303</w:t>
            </w: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080" w:type="dxa"/>
            <w:vAlign w:val="bottom"/>
            <w:tcBorders>
              <w:bottom w:val="single" w:sz="8" w:color="2C2C2C"/>
            </w:tcBorders>
          </w:tcPr>
          <w:p>
            <w:pPr>
              <w:spacing w:after="0"/>
              <w:rPr>
                <w:sz w:val="11"/>
                <w:szCs w:val="11"/>
                <w:color w:val="auto"/>
              </w:rPr>
            </w:pPr>
          </w:p>
        </w:tc>
        <w:tc>
          <w:tcPr>
            <w:tcW w:w="168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460" w:type="dxa"/>
            <w:vAlign w:val="bottom"/>
            <w:gridSpan w:val="4"/>
            <w:vMerge w:val="continue"/>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90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760" w:type="dxa"/>
            <w:vAlign w:val="bottom"/>
            <w:gridSpan w:val="2"/>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7" w:right="359" w:bottom="1440" w:gutter="0" w:footer="0" w:header="0"/>
          <w:type w:val="continuous"/>
        </w:sectPr>
      </w:pPr>
    </w:p>
    <w:p>
      <w:pPr>
        <w:spacing w:after="0" w:line="19" w:lineRule="exact"/>
        <w:rPr>
          <w:sz w:val="20"/>
          <w:szCs w:val="20"/>
          <w:color w:val="auto"/>
        </w:rPr>
      </w:pPr>
    </w:p>
    <w:tbl>
      <w:tblPr>
        <w:tblLayout w:type="fixed"/>
        <w:tblInd w:w="80" w:type="dxa"/>
        <w:tblCellMar>
          <w:top w:w="0" w:type="dxa"/>
          <w:left w:w="0" w:type="dxa"/>
          <w:bottom w:w="0" w:type="dxa"/>
          <w:right w:w="0" w:type="dxa"/>
        </w:tblCellMar>
      </w:tblPr>
      <w:tr>
        <w:trPr>
          <w:trHeight w:val="169"/>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10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SAN MATEO</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94402</w:t>
            </w:r>
          </w:p>
        </w:tc>
      </w:tr>
      <w:tr>
        <w:trPr>
          <w:trHeight w:val="149"/>
        </w:trPr>
        <w:tc>
          <w:tcPr>
            <w:tcW w:w="20" w:type="dxa"/>
            <w:vAlign w:val="bottom"/>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100" w:type="dxa"/>
            <w:vAlign w:val="bottom"/>
          </w:tcPr>
          <w:p>
            <w:pPr>
              <w:ind w:left="20"/>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2" w:lineRule="exact"/>
        <w:rPr>
          <w:sz w:val="20"/>
          <w:szCs w:val="20"/>
          <w:color w:val="auto"/>
        </w:rPr>
      </w:pPr>
    </w:p>
    <w:p>
      <w:pPr>
        <w:sectPr>
          <w:pgSz w:w="11900" w:h="16838" w:orient="portrait"/>
          <w:cols w:equalWidth="0" w:num="2">
            <w:col w:w="7540" w:space="720"/>
            <w:col w:w="282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Series A</w:t>
            </w: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68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52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39,567</w:t>
            </w:r>
          </w:p>
        </w:tc>
        <w:tc>
          <w:tcPr>
            <w:tcW w:w="680" w:type="dxa"/>
            <w:vAlign w:val="bottom"/>
          </w:tcPr>
          <w:p>
            <w:pPr>
              <w:spacing w:after="0"/>
              <w:rPr>
                <w:sz w:val="5"/>
                <w:szCs w:val="5"/>
                <w:color w:val="auto"/>
              </w:rPr>
            </w:pPr>
          </w:p>
        </w:tc>
        <w:tc>
          <w:tcPr>
            <w:tcW w:w="9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680" w:type="dxa"/>
            <w:vAlign w:val="bottom"/>
            <w:vMerge w:val="continue"/>
          </w:tcPr>
          <w:p>
            <w:pPr>
              <w:spacing w:after="0"/>
              <w:rPr>
                <w:sz w:val="6"/>
                <w:szCs w:val="6"/>
                <w:color w:val="auto"/>
              </w:rPr>
            </w:pPr>
          </w:p>
        </w:tc>
        <w:tc>
          <w:tcPr>
            <w:tcW w:w="780" w:type="dxa"/>
            <w:vAlign w:val="bottom"/>
            <w:vMerge w:val="restart"/>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6.48</w:t>
            </w:r>
          </w:p>
        </w:tc>
        <w:tc>
          <w:tcPr>
            <w:tcW w:w="1080" w:type="dxa"/>
            <w:vAlign w:val="bottom"/>
            <w:vMerge w:val="restart"/>
          </w:tcPr>
          <w:p>
            <w:pPr>
              <w:jc w:val="right"/>
              <w:ind w:right="180"/>
              <w:spacing w:after="0" w:line="142" w:lineRule="exact"/>
              <w:rPr>
                <w:sz w:val="20"/>
                <w:szCs w:val="20"/>
                <w:color w:val="auto"/>
              </w:rPr>
            </w:pPr>
            <w:r>
              <w:rPr>
                <w:rFonts w:ascii="Times New Roman" w:cs="Times New Roman" w:eastAsia="Times New Roman" w:hAnsi="Times New Roman"/>
                <w:sz w:val="13"/>
                <w:szCs w:val="13"/>
                <w:color w:val="0000FF"/>
              </w:rPr>
              <w:t>06/12/2026</w:t>
            </w:r>
          </w:p>
        </w:tc>
        <w:tc>
          <w:tcPr>
            <w:tcW w:w="1100" w:type="dxa"/>
            <w:vAlign w:val="bottom"/>
          </w:tcPr>
          <w:p>
            <w:pPr>
              <w:spacing w:after="0"/>
              <w:rPr>
                <w:sz w:val="6"/>
                <w:szCs w:val="6"/>
                <w:color w:val="auto"/>
              </w:rPr>
            </w:pPr>
          </w:p>
        </w:tc>
        <w:tc>
          <w:tcPr>
            <w:tcW w:w="780" w:type="dxa"/>
            <w:vAlign w:val="bottom"/>
            <w:vMerge w:val="restart"/>
          </w:tcPr>
          <w:p>
            <w:pPr>
              <w:ind w:left="160"/>
              <w:spacing w:after="0" w:line="142" w:lineRule="exact"/>
              <w:rPr>
                <w:sz w:val="20"/>
                <w:szCs w:val="20"/>
                <w:color w:val="auto"/>
              </w:rPr>
            </w:pPr>
            <w:r>
              <w:rPr>
                <w:rFonts w:ascii="Times New Roman" w:cs="Times New Roman" w:eastAsia="Times New Roman" w:hAnsi="Times New Roman"/>
                <w:sz w:val="13"/>
                <w:szCs w:val="13"/>
                <w:color w:val="0000FF"/>
              </w:rPr>
              <w:t>A</w:t>
            </w:r>
          </w:p>
        </w:tc>
        <w:tc>
          <w:tcPr>
            <w:tcW w:w="520" w:type="dxa"/>
            <w:vAlign w:val="bottom"/>
            <w:vMerge w:val="restart"/>
          </w:tcPr>
          <w:p>
            <w:pPr>
              <w:ind w:left="100"/>
              <w:spacing w:after="0" w:line="142" w:lineRule="exact"/>
              <w:rPr>
                <w:sz w:val="20"/>
                <w:szCs w:val="20"/>
                <w:color w:val="auto"/>
              </w:rPr>
            </w:pPr>
            <w:r>
              <w:rPr>
                <w:rFonts w:ascii="Times New Roman" w:cs="Times New Roman" w:eastAsia="Times New Roman" w:hAnsi="Times New Roman"/>
                <w:sz w:val="13"/>
                <w:szCs w:val="13"/>
                <w:color w:val="0000FF"/>
              </w:rPr>
              <w:t>39,567</w:t>
            </w:r>
          </w:p>
        </w:tc>
        <w:tc>
          <w:tcPr>
            <w:tcW w:w="28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72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06/11/2036</w:t>
            </w:r>
          </w:p>
        </w:tc>
        <w:tc>
          <w:tcPr>
            <w:tcW w:w="68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continue"/>
          </w:tcPr>
          <w:p>
            <w:pPr>
              <w:spacing w:after="0"/>
              <w:rPr>
                <w:sz w:val="6"/>
                <w:szCs w:val="6"/>
                <w:color w:val="auto"/>
              </w:rPr>
            </w:pPr>
          </w:p>
        </w:tc>
        <w:tc>
          <w:tcPr>
            <w:tcW w:w="680" w:type="dxa"/>
            <w:vAlign w:val="bottom"/>
            <w:vMerge w:val="restart"/>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vMerge w:val="restart"/>
          </w:tcPr>
          <w:p>
            <w:pPr>
              <w:ind w:left="300"/>
              <w:spacing w:after="0" w:line="142" w:lineRule="exact"/>
              <w:rPr>
                <w:sz w:val="20"/>
                <w:szCs w:val="20"/>
                <w:color w:val="auto"/>
              </w:rPr>
            </w:pPr>
            <w:r>
              <w:rPr>
                <w:rFonts w:ascii="Times New Roman" w:cs="Times New Roman" w:eastAsia="Times New Roman" w:hAnsi="Times New Roman"/>
                <w:sz w:val="13"/>
                <w:szCs w:val="13"/>
                <w:color w:val="0000FF"/>
              </w:rPr>
              <w:t>39,567</w:t>
            </w:r>
          </w:p>
        </w:tc>
        <w:tc>
          <w:tcPr>
            <w:tcW w:w="720" w:type="dxa"/>
            <w:vAlign w:val="bottom"/>
            <w:vMerge w:val="restart"/>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68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vMerge w:val="continue"/>
          </w:tcPr>
          <w:p>
            <w:pPr>
              <w:spacing w:after="0"/>
              <w:rPr>
                <w:sz w:val="5"/>
                <w:szCs w:val="5"/>
                <w:color w:val="auto"/>
              </w:rPr>
            </w:pPr>
          </w:p>
        </w:tc>
        <w:tc>
          <w:tcPr>
            <w:tcW w:w="1080" w:type="dxa"/>
            <w:vAlign w:val="bottom"/>
            <w:vMerge w:val="continue"/>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6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Pr>
          <w:p>
            <w:pPr>
              <w:spacing w:after="0"/>
              <w:rPr>
                <w:sz w:val="6"/>
                <w:szCs w:val="6"/>
                <w:color w:val="auto"/>
              </w:rPr>
            </w:pPr>
          </w:p>
        </w:tc>
        <w:tc>
          <w:tcPr>
            <w:tcW w:w="52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9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780" w:type="dxa"/>
            <w:vAlign w:val="bottom"/>
          </w:tcPr>
          <w:p>
            <w:pPr>
              <w:spacing w:after="0"/>
              <w:rPr>
                <w:sz w:val="7"/>
                <w:szCs w:val="7"/>
                <w:color w:val="auto"/>
              </w:rPr>
            </w:pPr>
          </w:p>
        </w:tc>
        <w:tc>
          <w:tcPr>
            <w:tcW w:w="52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9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6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Pr>
          <w:p>
            <w:pPr>
              <w:spacing w:after="0"/>
              <w:rPr>
                <w:sz w:val="6"/>
                <w:szCs w:val="6"/>
                <w:color w:val="auto"/>
              </w:rPr>
            </w:pPr>
          </w:p>
        </w:tc>
        <w:tc>
          <w:tcPr>
            <w:tcW w:w="52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9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9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40" w:right="40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underlying this option shall vest and become exercisable over twelve (12) equal monthly installments following June 12, 2026, subject to the Reporting Person's continued service on each such vesting date.</w:t>
      </w:r>
    </w:p>
    <w:p>
      <w:pPr>
        <w:spacing w:after="0" w:line="8" w:lineRule="exact"/>
        <w:rPr>
          <w:sz w:val="20"/>
          <w:szCs w:val="20"/>
          <w:color w:val="auto"/>
        </w:rPr>
      </w:pPr>
    </w:p>
    <w:tbl>
      <w:tblPr>
        <w:tblLayout w:type="fixed"/>
        <w:tblInd w:w="660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7"/>
              </w:rPr>
              <w:t>/s/ Elizabeth Rozek, Attorney-</w:t>
            </w:r>
          </w:p>
        </w:tc>
        <w:tc>
          <w:tcPr>
            <w:tcW w:w="160" w:type="dxa"/>
            <w:vAlign w:val="bottom"/>
          </w:tcPr>
          <w:p>
            <w:pPr>
              <w:spacing w:after="0"/>
              <w:rPr>
                <w:sz w:val="18"/>
                <w:szCs w:val="18"/>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06/15/2026</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86" w:lineRule="exact"/>
              <w:rPr>
                <w:sz w:val="20"/>
                <w:szCs w:val="20"/>
                <w:color w:val="auto"/>
              </w:rPr>
            </w:pPr>
            <w:r>
              <w:rPr>
                <w:rFonts w:ascii="Times New Roman" w:cs="Times New Roman" w:eastAsia="Times New Roman" w:hAnsi="Times New Roman"/>
                <w:sz w:val="17"/>
                <w:szCs w:val="17"/>
                <w:color w:val="0000FF"/>
              </w:rPr>
              <w:t>in-Fact</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460" w:type="dxa"/>
            <w:vAlign w:val="bottom"/>
            <w:shd w:val="clear" w:color="auto" w:fill="000000"/>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611468" TargetMode="External"/><Relationship Id="rId14" Type="http://schemas.openxmlformats.org/officeDocument/2006/relationships/hyperlink" Target="http://www.sec.gov/cgi-bin/browse-edgar?action=getcompany&amp;CIK=000140011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2026-06-15T15:32:37Z</dcterms:created>
  <dcterms:modified xsi:type="dcterms:W3CDTF">2026-06-15T15:32:37Z</dcterms:modified>
</cp:coreProperties>
</file>