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76"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 Filed Pursuant to Rule 424(b)(5)​</w:t>
      </w: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 Registration No. 333-281582​</w:t>
      </w:r>
    </w:p>
    <w:p>
      <w:pPr>
        <w:spacing w:after="0" w:line="174"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(To Prospectus dated August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1548765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237490</wp:posOffset>
            </wp:positionV>
            <wp:extent cx="2905760" cy="103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05760"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5"/>
          <w:szCs w:val="25"/>
          <w:b w:val="1"/>
          <w:bCs w:val="1"/>
          <w:color w:val="auto"/>
        </w:rPr>
        <w:t>29,166,700 Shares of Series A Common Stock</w:t>
      </w:r>
    </w:p>
    <w:p>
      <w:pPr>
        <w:spacing w:after="0" w:line="223"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We are offering 29,166,700 shares of our Series A common stock, par value $0.0001 per share (Series A common stock).</w:t>
      </w:r>
    </w:p>
    <w:p>
      <w:pPr>
        <w:spacing w:after="0" w:line="225" w:lineRule="exact"/>
        <w:rPr>
          <w:sz w:val="24"/>
          <w:szCs w:val="24"/>
          <w:color w:val="auto"/>
        </w:rPr>
      </w:pPr>
    </w:p>
    <w:p>
      <w:pPr>
        <w:ind w:left="500" w:right="240" w:firstLine="360"/>
        <w:spacing w:after="0" w:line="282" w:lineRule="auto"/>
        <w:rPr>
          <w:sz w:val="20"/>
          <w:szCs w:val="20"/>
          <w:color w:val="auto"/>
        </w:rPr>
      </w:pPr>
      <w:r>
        <w:rPr>
          <w:rFonts w:ascii="Times New Roman" w:cs="Times New Roman" w:eastAsia="Times New Roman" w:hAnsi="Times New Roman"/>
          <w:sz w:val="18"/>
          <w:szCs w:val="18"/>
          <w:color w:val="auto"/>
        </w:rPr>
        <w:t>Our Series A common stock is listed on the Nasdaq Global Market under the symbol “SGMT.” On April 24, 2026, the last reported sale price of our Series A common stock on the Nasdaq Global Market was $5.86 per share.</w:t>
      </w:r>
    </w:p>
    <w:p>
      <w:pPr>
        <w:spacing w:after="0" w:line="162" w:lineRule="exact"/>
        <w:rPr>
          <w:sz w:val="24"/>
          <w:szCs w:val="24"/>
          <w:color w:val="auto"/>
        </w:rPr>
      </w:pPr>
    </w:p>
    <w:p>
      <w:pPr>
        <w:ind w:left="500" w:right="100" w:firstLine="36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defined under the federal securities laws and, as such, have elected to comply with certain reduced reporting requirements.</w:t>
      </w:r>
    </w:p>
    <w:p>
      <w:pPr>
        <w:spacing w:after="0" w:line="158"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 xml:space="preserve">Investing in our Series A common stock involves a high degree of risk. See the section titled “Risk Factors” beginning on page </w:t>
      </w:r>
      <w:r>
        <w:rPr>
          <w:rFonts w:ascii="Times New Roman" w:cs="Times New Roman" w:eastAsia="Times New Roman" w:hAnsi="Times New Roman"/>
          <w:sz w:val="17"/>
          <w:szCs w:val="17"/>
          <w:b w:val="1"/>
          <w:bCs w:val="1"/>
          <w:u w:val="single" w:color="auto"/>
          <w:color w:val="0000EE"/>
        </w:rPr>
        <w:t>S-</w:t>
      </w:r>
    </w:p>
    <w:p>
      <w:pPr>
        <w:spacing w:after="0" w:line="4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0000EE"/>
        </w:rPr>
        <w:t>7</w:t>
      </w:r>
      <w:r>
        <w:rPr>
          <w:rFonts w:ascii="Times New Roman" w:cs="Times New Roman" w:eastAsia="Times New Roman" w:hAnsi="Times New Roman"/>
          <w:sz w:val="18"/>
          <w:szCs w:val="18"/>
          <w:b w:val="1"/>
          <w:bCs w:val="1"/>
          <w:color w:val="000000"/>
        </w:rPr>
        <w:t>.</w:t>
      </w:r>
    </w:p>
    <w:p>
      <w:pPr>
        <w:spacing w:after="0" w:line="203" w:lineRule="exact"/>
        <w:rPr>
          <w:sz w:val="24"/>
          <w:szCs w:val="24"/>
          <w:color w:val="auto"/>
        </w:rPr>
      </w:pPr>
    </w:p>
    <w:p>
      <w:pPr>
        <w:ind w:left="500" w:right="42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43" w:lineRule="exact"/>
        <w:rPr>
          <w:sz w:val="24"/>
          <w:szCs w:val="24"/>
          <w:color w:val="auto"/>
        </w:rPr>
      </w:pPr>
    </w:p>
    <w:tbl>
      <w:tblPr>
        <w:tblLayout w:type="fixed"/>
        <w:tblInd w:w="500" w:type="dxa"/>
        <w:tblCellMar>
          <w:top w:w="0" w:type="dxa"/>
          <w:left w:w="0" w:type="dxa"/>
          <w:bottom w:w="0" w:type="dxa"/>
          <w:right w:w="0" w:type="dxa"/>
        </w:tblCellMar>
      </w:tblPr>
      <w:tr>
        <w:trPr>
          <w:trHeight w:val="379"/>
        </w:trPr>
        <w:tc>
          <w:tcPr>
            <w:tcW w:w="5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20" w:type="dxa"/>
            <w:vAlign w:val="bottom"/>
            <w:gridSpan w:val="3"/>
          </w:tcPr>
          <w:p>
            <w:pPr>
              <w:ind w:left="222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Per Share </w:t>
            </w:r>
            <w:r>
              <w:rPr>
                <w:rFonts w:ascii="Times New Roman" w:cs="Times New Roman" w:eastAsia="Times New Roman" w:hAnsi="Times New Roman"/>
                <w:sz w:val="28"/>
                <w:szCs w:val="28"/>
                <w:b w:val="1"/>
                <w:bCs w:val="1"/>
                <w:color w:val="auto"/>
                <w:vertAlign w:val="subscript"/>
              </w:rPr>
              <w:t>​ ​</w:t>
            </w:r>
          </w:p>
        </w:tc>
        <w:tc>
          <w:tcPr>
            <w:tcW w:w="10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50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380" w:type="dxa"/>
            <w:vAlign w:val="bottom"/>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​​$175,000,200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3"/>
                <w:szCs w:val="23"/>
                <w:color w:val="auto"/>
                <w:vertAlign w:val="superscript"/>
              </w:rPr>
              <w:t>(1)</w:t>
            </w:r>
          </w:p>
        </w:tc>
        <w:tc>
          <w:tcPr>
            <w:tcW w:w="23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$0.36</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​​$ 10,500,012​</w:t>
            </w:r>
          </w:p>
        </w:tc>
      </w:tr>
      <w:tr>
        <w:trPr>
          <w:trHeight w:val="25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380" w:type="dxa"/>
            <w:vAlign w:val="bottom"/>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w:t>
            </w: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​​$164,500,188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-513715</wp:posOffset>
            </wp:positionV>
            <wp:extent cx="55378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3783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146050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4"/>
          <w:szCs w:val="24"/>
          <w:color w:val="auto"/>
        </w:rPr>
      </w:pPr>
    </w:p>
    <w:p>
      <w:pPr>
        <w:ind w:left="860" w:right="1080" w:hanging="368"/>
        <w:spacing w:after="0" w:line="532" w:lineRule="auto"/>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“Underwriting” beginning on page </w:t>
      </w:r>
      <w:r>
        <w:rPr>
          <w:rFonts w:ascii="Times New Roman" w:cs="Times New Roman" w:eastAsia="Times New Roman" w:hAnsi="Times New Roman"/>
          <w:sz w:val="18"/>
          <w:szCs w:val="18"/>
          <w:u w:val="single" w:color="auto"/>
          <w:color w:val="0000EE"/>
        </w:rPr>
        <w:t>S-21</w:t>
      </w:r>
      <w:r>
        <w:rPr>
          <w:rFonts w:ascii="Times New Roman" w:cs="Times New Roman" w:eastAsia="Times New Roman" w:hAnsi="Times New Roman"/>
          <w:sz w:val="18"/>
          <w:szCs w:val="18"/>
          <w:color w:val="auto"/>
        </w:rPr>
        <w:t xml:space="preserve"> for a description of the compensation payable to the underwriters. The underwriters expect to deliver the shares of Series A common stock on or about April 28, 2026.</w:t>
      </w:r>
    </w:p>
    <w:p>
      <w:pPr>
        <w:spacing w:after="0" w:line="160"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2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29"/>
          <w:szCs w:val="29"/>
          <w:b w:val="1"/>
          <w:bCs w:val="1"/>
          <w:color w:val="auto"/>
        </w:rPr>
        <w:t>​Leerink Partners ​ ​TD Cowen ​ ​Guggenheim Securities ​ ​Oppenheimer &amp; Co.​</w:t>
      </w:r>
    </w:p>
    <w:p>
      <w:pPr>
        <w:spacing w:after="0" w:line="31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i w:val="1"/>
          <w:iCs w:val="1"/>
          <w:color w:val="auto"/>
        </w:rPr>
        <w:t>Co-Lead Managers</w:t>
      </w:r>
    </w:p>
    <w:p>
      <w:pPr>
        <w:spacing w:after="0" w:line="207" w:lineRule="exact"/>
        <w:rPr>
          <w:sz w:val="24"/>
          <w:szCs w:val="24"/>
          <w:color w:val="auto"/>
        </w:rPr>
      </w:pPr>
    </w:p>
    <w:p>
      <w:pPr>
        <w:ind w:left="500"/>
        <w:spacing w:after="0"/>
        <w:tabs>
          <w:tab w:leader="none" w:pos="3760" w:val="left"/>
          <w:tab w:leader="none" w:pos="4760" w:val="left"/>
          <w:tab w:leader="none" w:pos="8560" w:val="left"/>
          <w:tab w:leader="none" w:pos="9540" w:val="left"/>
        </w:tabs>
        <w:rPr>
          <w:sz w:val="20"/>
          <w:szCs w:val="20"/>
          <w:color w:val="auto"/>
        </w:rPr>
      </w:pPr>
      <w:r>
        <w:rPr>
          <w:rFonts w:ascii="Times New Roman" w:cs="Times New Roman" w:eastAsia="Times New Roman" w:hAnsi="Times New Roman"/>
          <w:sz w:val="29"/>
          <w:szCs w:val="29"/>
          <w:b w:val="1"/>
          <w:bCs w:val="1"/>
          <w:color w:val="auto"/>
        </w:rPr>
        <w:t>​Canaccord Genuity​</w:t>
      </w:r>
      <w:r>
        <w:rPr>
          <w:sz w:val="20"/>
          <w:szCs w:val="20"/>
          <w:color w:val="auto"/>
        </w:rPr>
        <w:tab/>
      </w:r>
      <w:r>
        <w:rPr>
          <w:rFonts w:ascii="Times New Roman" w:cs="Times New Roman" w:eastAsia="Times New Roman" w:hAnsi="Times New Roman"/>
          <w:sz w:val="29"/>
          <w:szCs w:val="29"/>
          <w:b w:val="1"/>
          <w:bCs w:val="1"/>
          <w:color w:val="auto"/>
        </w:rPr>
        <w:t>​</w:t>
      </w:r>
      <w:r>
        <w:rPr>
          <w:sz w:val="20"/>
          <w:szCs w:val="20"/>
          <w:color w:val="auto"/>
        </w:rPr>
        <w:tab/>
      </w:r>
      <w:r>
        <w:rPr>
          <w:rFonts w:ascii="Times New Roman" w:cs="Times New Roman" w:eastAsia="Times New Roman" w:hAnsi="Times New Roman"/>
          <w:sz w:val="29"/>
          <w:szCs w:val="29"/>
          <w:b w:val="1"/>
          <w:bCs w:val="1"/>
          <w:color w:val="auto"/>
        </w:rPr>
        <w:t>H.C. Wainwright &amp; Co.​</w:t>
      </w:r>
      <w:r>
        <w:rPr>
          <w:sz w:val="20"/>
          <w:szCs w:val="20"/>
          <w:color w:val="auto"/>
        </w:rPr>
        <w:tab/>
      </w:r>
      <w:r>
        <w:rPr>
          <w:rFonts w:ascii="Times New Roman" w:cs="Times New Roman" w:eastAsia="Times New Roman" w:hAnsi="Times New Roman"/>
          <w:sz w:val="29"/>
          <w:szCs w:val="29"/>
          <w:b w:val="1"/>
          <w:bCs w:val="1"/>
          <w:color w:val="auto"/>
        </w:rPr>
        <w:t>​</w:t>
      </w:r>
      <w:r>
        <w:rPr>
          <w:sz w:val="20"/>
          <w:szCs w:val="20"/>
          <w:color w:val="auto"/>
        </w:rPr>
        <w:tab/>
      </w:r>
      <w:r>
        <w:rPr>
          <w:rFonts w:ascii="Times New Roman" w:cs="Times New Roman" w:eastAsia="Times New Roman" w:hAnsi="Times New Roman"/>
          <w:sz w:val="29"/>
          <w:szCs w:val="29"/>
          <w:b w:val="1"/>
          <w:bCs w:val="1"/>
          <w:color w:val="auto"/>
        </w:rPr>
        <w:t>Jones​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283845</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10300"/>
          </w:cols>
          <w:pgMar w:left="580" w:top="205" w:right="10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Prospectus Supplement dated April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262890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00"/>
          </w:cols>
          <w:pgMar w:left="580" w:top="205" w:right="101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-107950</wp:posOffset>
            </wp:positionV>
            <wp:extent cx="5212080"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SUPPLEMENT SUMMARY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right="1460"/>
        <w:spacing w:after="0" w:line="313" w:lineRule="auto"/>
        <w:rPr>
          <w:sz w:val="20"/>
          <w:szCs w:val="20"/>
          <w:color w:val="auto"/>
        </w:rPr>
      </w:pPr>
      <w:r>
        <w:rPr>
          <w:rFonts w:ascii="Times New Roman" w:cs="Times New Roman" w:eastAsia="Times New Roman" w:hAnsi="Times New Roman"/>
          <w:sz w:val="18"/>
          <w:szCs w:val="18"/>
          <w:color w:val="0000EE"/>
        </w:rPr>
        <w:t>SPECIAL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 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-47625</wp:posOffset>
            </wp:positionV>
            <wp:extent cx="5212080" cy="196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0000EE"/>
        </w:rPr>
        <w:t>DIVIDEND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POLICY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SECURITIES WE ARE OFFERING</w:t>
      </w:r>
    </w:p>
    <w:p>
      <w:pPr>
        <w:spacing w:after="0" w:line="63" w:lineRule="exact"/>
        <w:rPr>
          <w:sz w:val="20"/>
          <w:szCs w:val="20"/>
          <w:color w:val="auto"/>
        </w:rPr>
      </w:pPr>
    </w:p>
    <w:p>
      <w:pPr>
        <w:ind w:left="1260" w:right="2060"/>
        <w:spacing w:after="0" w:line="313" w:lineRule="auto"/>
        <w:rPr>
          <w:sz w:val="20"/>
          <w:szCs w:val="20"/>
          <w:color w:val="auto"/>
        </w:rPr>
      </w:pPr>
      <w:r>
        <w:rPr>
          <w:rFonts w:ascii="Times New Roman" w:cs="Times New Roman" w:eastAsia="Times New Roman" w:hAnsi="Times New Roman"/>
          <w:sz w:val="18"/>
          <w:szCs w:val="18"/>
          <w:color w:val="0000EE"/>
        </w:rPr>
        <w:t>MATERIAL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U.S. FEDERAL INCOME TAX CONSEQUENCES </w:t>
      </w:r>
      <w:r>
        <w:rPr>
          <w:rFonts w:ascii="Times New Roman" w:cs="Times New Roman" w:eastAsia="Times New Roman" w:hAnsi="Times New Roman"/>
          <w:sz w:val="18"/>
          <w:szCs w:val="18"/>
          <w:u w:val="single" w:color="auto"/>
          <w:color w:val="0000EE"/>
        </w:rPr>
        <w:t>UNDERWRITING</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-219075</wp:posOffset>
            </wp:positionV>
            <wp:extent cx="5212080" cy="196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CERTAIN INFORMATION BY REFERENCE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wp:posOffset>
            </wp:positionV>
            <wp:extent cx="52120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CERTAIN INFORMATION BY REFERENCE</w:t>
      </w:r>
    </w:p>
    <w:p>
      <w:pPr>
        <w:spacing w:after="0" w:line="63"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THE COMPANY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UNITS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OUR 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GLOBAL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4"/>
        </w:trPr>
        <w:tc>
          <w:tcPr>
            <w:tcW w:w="2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60" w:type="dxa"/>
            <w:vAlign w:val="bottom"/>
            <w:tcBorders>
              <w:bottom w:val="single" w:sz="8" w:color="0000EE"/>
            </w:tcBorders>
          </w:tcPr>
          <w:p>
            <w:pPr>
              <w:jc w:val="right"/>
              <w:spacing w:after="0" w:line="174" w:lineRule="exact"/>
              <w:rPr>
                <w:sz w:val="20"/>
                <w:szCs w:val="20"/>
                <w:color w:val="auto"/>
              </w:rPr>
            </w:pPr>
            <w:r>
              <w:rPr>
                <w:rFonts w:ascii="Times New Roman" w:cs="Times New Roman" w:eastAsia="Times New Roman" w:hAnsi="Times New Roman"/>
                <w:sz w:val="18"/>
                <w:szCs w:val="18"/>
                <w:color w:val="0000EE"/>
                <w:w w:val="95"/>
              </w:rPr>
              <w:t>S-1</w:t>
            </w:r>
          </w:p>
        </w:tc>
        <w:tc>
          <w:tcPr>
            <w:tcW w:w="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250"/>
        </w:trPr>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95"/>
              </w:rPr>
              <w:t>S-2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95"/>
              </w:rPr>
              <w:t>S-7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S-10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S-12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S-13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S-14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S-15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S-16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S-21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S-33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S-33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S-33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18"/>
                <w:szCs w:val="18"/>
                <w:color w:val="0000EE"/>
                <w:w w:val="93"/>
              </w:rPr>
              <w:t>S-33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66"/>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30</w:t>
      </w:r>
      <w:r>
        <w:rPr>
          <w:rFonts w:ascii="Times New Roman" w:cs="Times New Roman" w:eastAsia="Times New Roman" w:hAnsi="Times New Roman"/>
          <w:sz w:val="18"/>
          <w:szCs w:val="18"/>
          <w:color w:val="auto"/>
        </w:rPr>
        <w:t>​</w:t>
      </w:r>
    </w:p>
    <w:p>
      <w:pPr>
        <w:sectPr>
          <w:pgSz w:w="11900" w:h="16838" w:orient="portrait"/>
          <w:cols w:equalWidth="0" w:num="2">
            <w:col w:w="8220" w:space="720"/>
            <w:col w:w="93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form part of a registration statement on Form S-3 that we filed with the Securities and Exchange Commission (SEC) utilizing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 You should read this prospectus supplement and the accompanying prospectus, including the information incorporated by reference herein and therein, and any related free writing prospectus that we have authorized for use in connection with this offering.</w:t>
      </w:r>
    </w:p>
    <w:p>
      <w:pPr>
        <w:spacing w:after="0" w:line="33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that we have included or incorporated by reference in this prospectus supplement, the accompanying prospectus and any related free writing prospectus that we may authorize to be provided to you. We have not, and the underwriters have not, authorized anyone to give any information or to make any representation other than those contained or incorporated by reference in this prospectus supplement, the accompanying prospectus or any related free writing prospectus that we may authorize to be provided to you. You must not rely upon any information or representation not contained or incorporated by reference in this prospectus supplement, the accompanying prospectus or any related free writing prospectus. This prospectus supplement, the accompanying prospectus and any related free writing prospectus do not constitute an offer to sell or the solicitation of an offer to buy any securities other than the registered securities to which they relate, nor do this prospectus supplement, the accompanying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325"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the accompanying prospectus or any related free writing prospectus is delivered, or securities are sold, on a later date. This prospectus supplement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w:t>
      </w:r>
    </w:p>
    <w:p>
      <w:pPr>
        <w:spacing w:after="0" w:line="122"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When we refer to “Sagimet,” “Sagimet Biosciences,” “we,” “our,” “us” and the “Company” in this prospectus supplement, we mean Sagimet Biosciences Inc. unless otherwise specified. When we refer to “you,” we mean the potential holders of the applicable series of securities.</w:t>
      </w:r>
    </w:p>
    <w:p>
      <w:pPr>
        <w:spacing w:after="0" w:line="108"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 xml:space="preserve">This prospectus supplement contains or incorporates by reference documents that contain references to trademarks, service marks and trade names owned by us or other entities. All trademarks, service marks and trade names included or incorporated by reference into this prospectus supplement are the property of their respective owners. Solely for convenience, trademarks, service marks and trade names referred to in this prospectus supplement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 symbols, but such references are not intended to indicate, in any way, that their respective owners will not assert, to the fullest extent under applicable law, their rights thereto. We do not intend our use or display of other companies’ trade names, trademarks or service marks to imply a relationship with, or endorsement or sponsorship of us by, these other companies.</w:t>
      </w:r>
    </w:p>
    <w:p>
      <w:pPr>
        <w:spacing w:after="0" w:line="37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1280" w:right="4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incorporated by reference in this prospectus supplement, the accompanying prospectus and any related free writing prospectus. It does not contain all of the information that may be important to you and your investment decision. Before investing in our Series A Common Stock, you should carefully read this entire prospectus supplement, the accompanying prospectus, including the matters set forth under the sections “Risk Factors” of this prospectus supplement, the accompanying prospectus and any related free writing prospectus, as well as the financial statements and related notes and other information that we incorporate by reference herein and therein, including our Annual Report on Form 10-K and our Quarterly Reports on Form 10-Q and the exhibits to the registration statement of which this prospectus supplement and the accompanying prospectus is a part.</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80" w:right="539" w:firstLine="360"/>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novel therapeutics called fatty acid synthase (FASN) inhibitors that target dysfunctional metabolic and fibrotic pathways in diseases resulting from the overproduction of the fatty acid, palmitate. Our lead drug candidate, denifanstat, is an oral, once-daily pill and selective FASN inhibitor in development for the treatment of acne, metabolic dysfunction-associated steatohepatitis (MASH) and select forms of cancer. Our second FASN inhibitor, TVB-3567, is a potent and selective small molecule FASN inhibitor in development for acne.</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FASN Inhibition for the Treatment of Acne</w:t>
      </w:r>
    </w:p>
    <w:p>
      <w:pPr>
        <w:spacing w:after="0" w:line="148" w:lineRule="exact"/>
        <w:rPr>
          <w:sz w:val="20"/>
          <w:szCs w:val="20"/>
          <w:color w:val="auto"/>
        </w:rPr>
      </w:pPr>
    </w:p>
    <w:p>
      <w:pPr>
        <w:ind w:left="1280" w:right="499" w:firstLine="360"/>
        <w:spacing w:after="0" w:line="255" w:lineRule="auto"/>
        <w:rPr>
          <w:sz w:val="20"/>
          <w:szCs w:val="20"/>
          <w:color w:val="auto"/>
        </w:rPr>
      </w:pPr>
      <w:r>
        <w:rPr>
          <w:rFonts w:ascii="Times New Roman" w:cs="Times New Roman" w:eastAsia="Times New Roman" w:hAnsi="Times New Roman"/>
          <w:sz w:val="18"/>
          <w:szCs w:val="18"/>
          <w:color w:val="auto"/>
        </w:rPr>
        <w:t>We are evaluating our FASN inhibitors in acne, a disorder in which dysregulation of fatty acid metabolism plays a key role. Building on the recent successful Phase 3 clinical trial in China of our lead drug candidate, denifanstat, in moderate to severe acne, we have taken the strategic decision to advance denifanstat in acne in the United States. We plan to file an Investigational New Drug (IND) Application for denifanstat for the treatment of moderate to severe acne in mid-2026, and following IND clearance, anticipate advancing denifanstat into a registrational Phase 3 trial in moderate to severe acne patients in the second half of 2026 for the United States.</w:t>
      </w:r>
    </w:p>
    <w:p>
      <w:pPr>
        <w:spacing w:after="0" w:line="18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Phase 3 Clinical Trial of Denifanstat in Acne</w:t>
      </w:r>
    </w:p>
    <w:p>
      <w:pPr>
        <w:spacing w:after="0" w:line="162" w:lineRule="exact"/>
        <w:rPr>
          <w:sz w:val="20"/>
          <w:szCs w:val="20"/>
          <w:color w:val="auto"/>
        </w:rPr>
      </w:pPr>
    </w:p>
    <w:p>
      <w:pPr>
        <w:ind w:left="1280" w:right="479" w:firstLine="360"/>
        <w:spacing w:after="0" w:line="261" w:lineRule="auto"/>
        <w:rPr>
          <w:sz w:val="20"/>
          <w:szCs w:val="20"/>
          <w:color w:val="auto"/>
        </w:rPr>
      </w:pPr>
      <w:r>
        <w:rPr>
          <w:rFonts w:ascii="Times New Roman" w:cs="Times New Roman" w:eastAsia="Times New Roman" w:hAnsi="Times New Roman"/>
          <w:sz w:val="18"/>
          <w:szCs w:val="18"/>
          <w:color w:val="auto"/>
        </w:rPr>
        <w:t>In January 2026, our license partner for China, Ascletis BioScience Co. Ltd. (Ascletis), a subsidiary of Ascletis Pharma Inc. (Ascletis Pharma), reported positive topline results in the open-label Phase 3 trial evaluating the long-term safety of ASC40 (denifanstat) tablets in patients with moderate to severe acne in China.</w:t>
      </w:r>
    </w:p>
    <w:p>
      <w:pPr>
        <w:spacing w:after="0" w:line="112" w:lineRule="exact"/>
        <w:rPr>
          <w:sz w:val="20"/>
          <w:szCs w:val="20"/>
          <w:color w:val="auto"/>
        </w:rPr>
      </w:pPr>
    </w:p>
    <w:p>
      <w:pPr>
        <w:ind w:left="1280" w:right="539" w:firstLine="360"/>
        <w:spacing w:after="0" w:line="275" w:lineRule="auto"/>
        <w:rPr>
          <w:sz w:val="20"/>
          <w:szCs w:val="20"/>
          <w:color w:val="auto"/>
        </w:rPr>
      </w:pPr>
      <w:r>
        <w:rPr>
          <w:rFonts w:ascii="Times New Roman" w:cs="Times New Roman" w:eastAsia="Times New Roman" w:hAnsi="Times New Roman"/>
          <w:sz w:val="18"/>
          <w:szCs w:val="18"/>
          <w:color w:val="auto"/>
        </w:rPr>
        <w:t>In December 2025, Ascletis announced that the China National Medical Products Administration (NMPA) accepted its New Drug Application (NDA) for denifanstat for the treatment of moderate to severe acne.</w:t>
      </w:r>
    </w:p>
    <w:p>
      <w:pPr>
        <w:spacing w:after="0" w:line="309" w:lineRule="exact"/>
        <w:rPr>
          <w:sz w:val="20"/>
          <w:szCs w:val="20"/>
          <w:color w:val="auto"/>
        </w:rPr>
      </w:pPr>
    </w:p>
    <w:p>
      <w:pPr>
        <w:ind w:left="1280" w:right="459" w:firstLine="360"/>
        <w:spacing w:after="0" w:line="261" w:lineRule="auto"/>
        <w:rPr>
          <w:sz w:val="20"/>
          <w:szCs w:val="20"/>
          <w:color w:val="auto"/>
        </w:rPr>
      </w:pPr>
      <w:r>
        <w:rPr>
          <w:rFonts w:ascii="Times New Roman" w:cs="Times New Roman" w:eastAsia="Times New Roman" w:hAnsi="Times New Roman"/>
          <w:sz w:val="18"/>
          <w:szCs w:val="18"/>
          <w:color w:val="auto"/>
        </w:rPr>
        <w:t>In June 2025, Ascletis announced that denifanstat met all primary and secondary endpoints in its Phase 3 clinical trial in moderate to severe acne vulgaris in China. The Phase 3 clinical trial was a randomized, double-blind, placebo-controlled, multicenter clinical trial of 480 enrolled patients randomized 1:1 to receive denifanstat 50mg or placebo, once daily for 12 weeks.</w:t>
      </w:r>
    </w:p>
    <w:p>
      <w:pPr>
        <w:spacing w:after="0" w:line="11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Ascletis reported the following efficacy data from the Phase 3 clinical trial:</w:t>
      </w:r>
    </w:p>
    <w:p>
      <w:pPr>
        <w:spacing w:after="0" w:line="117" w:lineRule="exact"/>
        <w:rPr>
          <w:sz w:val="20"/>
          <w:szCs w:val="20"/>
          <w:color w:val="auto"/>
        </w:rPr>
      </w:pPr>
    </w:p>
    <w:p>
      <w:pPr>
        <w:ind w:left="1820" w:hanging="182"/>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primary endpoints were met, including:</w:t>
      </w:r>
    </w:p>
    <w:p>
      <w:pPr>
        <w:spacing w:after="0" w:line="130" w:lineRule="exact"/>
        <w:rPr>
          <w:rFonts w:ascii="Times New Roman" w:cs="Times New Roman" w:eastAsia="Times New Roman" w:hAnsi="Times New Roman"/>
          <w:sz w:val="18"/>
          <w:szCs w:val="18"/>
          <w:color w:val="auto"/>
        </w:rPr>
      </w:pPr>
    </w:p>
    <w:p>
      <w:pPr>
        <w:ind w:left="2180" w:right="499" w:hanging="182"/>
        <w:spacing w:after="0" w:line="266" w:lineRule="auto"/>
        <w:tabs>
          <w:tab w:leader="none" w:pos="21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treatment success (defined as an Investigator’s Global Assessment (IGA) score of 0 (clear) or 1 (almost clear) with at least a 2-point decrease from baseline) (denifanstat 33.2% vs. placebo 14.6%, p&lt;0.0001).</w:t>
      </w:r>
    </w:p>
    <w:p>
      <w:pPr>
        <w:spacing w:after="0" w:line="67" w:lineRule="exact"/>
        <w:rPr>
          <w:rFonts w:ascii="Times New Roman" w:cs="Times New Roman" w:eastAsia="Times New Roman" w:hAnsi="Times New Roman"/>
          <w:sz w:val="18"/>
          <w:szCs w:val="18"/>
          <w:color w:val="auto"/>
        </w:rPr>
      </w:pPr>
    </w:p>
    <w:p>
      <w:pPr>
        <w:ind w:left="2180" w:hanging="182"/>
        <w:spacing w:after="0"/>
        <w:tabs>
          <w:tab w:leader="none" w:pos="21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total lesion count (denifanstat -57.4% vs. placebo -35.4%, p&lt;0.0001).</w:t>
      </w:r>
    </w:p>
    <w:p>
      <w:pPr>
        <w:spacing w:after="0" w:line="117" w:lineRule="exact"/>
        <w:rPr>
          <w:rFonts w:ascii="Times New Roman" w:cs="Times New Roman" w:eastAsia="Times New Roman" w:hAnsi="Times New Roman"/>
          <w:sz w:val="18"/>
          <w:szCs w:val="18"/>
          <w:color w:val="auto"/>
        </w:rPr>
      </w:pPr>
    </w:p>
    <w:p>
      <w:pPr>
        <w:ind w:left="2180" w:right="719" w:hanging="182"/>
        <w:spacing w:after="0" w:line="282" w:lineRule="auto"/>
        <w:tabs>
          <w:tab w:leader="none" w:pos="21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inflammatory lesion count (denifanstat -63.5% vs. placebo -43.2%, p&lt;0.0001).</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47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814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1239" w:hanging="182"/>
        <w:spacing w:after="0" w:line="282"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secondary endpoints were met, including the change in non-inflammatory lesion count (denifanstat -51.9% vs. placebo -28.9%, p&lt;0.0001).</w:t>
      </w:r>
    </w:p>
    <w:p>
      <w:pPr>
        <w:spacing w:after="0" w:line="94" w:lineRule="exact"/>
        <w:rPr>
          <w:sz w:val="20"/>
          <w:szCs w:val="20"/>
          <w:color w:val="auto"/>
        </w:rPr>
      </w:pPr>
    </w:p>
    <w:p>
      <w:pPr>
        <w:ind w:left="1280" w:right="539" w:firstLine="360"/>
        <w:spacing w:after="0" w:line="282" w:lineRule="auto"/>
        <w:rPr>
          <w:sz w:val="20"/>
          <w:szCs w:val="20"/>
          <w:color w:val="auto"/>
        </w:rPr>
      </w:pPr>
      <w:r>
        <w:rPr>
          <w:rFonts w:ascii="Times New Roman" w:cs="Times New Roman" w:eastAsia="Times New Roman" w:hAnsi="Times New Roman"/>
          <w:sz w:val="18"/>
          <w:szCs w:val="18"/>
          <w:color w:val="auto"/>
        </w:rPr>
        <w:t>Ascletis reported that denifanstat was generally well-tolerated. Following 12 weeks of once-daily oral administration at 50mg, the incidence rates of TEAEs were comparable between denifanstat and placebo.</w:t>
      </w:r>
    </w:p>
    <w:p>
      <w:pPr>
        <w:spacing w:after="0" w:line="15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Phase 1 Clinical Trial of TVB-3567</w:t>
      </w:r>
    </w:p>
    <w:p>
      <w:pPr>
        <w:spacing w:after="0" w:line="162" w:lineRule="exact"/>
        <w:rPr>
          <w:sz w:val="20"/>
          <w:szCs w:val="20"/>
          <w:color w:val="auto"/>
        </w:rPr>
      </w:pPr>
    </w:p>
    <w:p>
      <w:pPr>
        <w:ind w:left="1280" w:right="559" w:firstLine="360"/>
        <w:spacing w:after="0" w:line="256" w:lineRule="auto"/>
        <w:rPr>
          <w:sz w:val="20"/>
          <w:szCs w:val="20"/>
          <w:color w:val="auto"/>
        </w:rPr>
      </w:pPr>
      <w:r>
        <w:rPr>
          <w:rFonts w:ascii="Times New Roman" w:cs="Times New Roman" w:eastAsia="Times New Roman" w:hAnsi="Times New Roman"/>
          <w:sz w:val="18"/>
          <w:szCs w:val="18"/>
          <w:color w:val="auto"/>
        </w:rPr>
        <w:t>In June 2025, we initiated a first-in-human Phase 1 clinical trial of our potent and selective small molecule FASN inhibitor, TVB-3567, for development of an acne indication. The Phase 1 clinical trial is a randomized double-blind placebo-controlled trial designed to evaluate the safety, tolerability, pharmacokinetics and pharmacodynamics of TVB-3567 in healthy participants with or without acne. The trial is comprised of several parts, including single ascending dose cohorts and multiple ascending dose cohorts in participants without acne, followed by testing in participants with acne including evaluation of pharmacodynamic biomarkers.</w:t>
      </w:r>
    </w:p>
    <w:p>
      <w:pPr>
        <w:spacing w:after="0" w:line="322" w:lineRule="exact"/>
        <w:rPr>
          <w:sz w:val="20"/>
          <w:szCs w:val="20"/>
          <w:color w:val="auto"/>
        </w:rPr>
      </w:pPr>
    </w:p>
    <w:p>
      <w:pPr>
        <w:ind w:left="1280" w:right="459" w:firstLine="360"/>
        <w:spacing w:after="0" w:line="282" w:lineRule="auto"/>
        <w:rPr>
          <w:sz w:val="20"/>
          <w:szCs w:val="20"/>
          <w:color w:val="auto"/>
        </w:rPr>
      </w:pPr>
      <w:r>
        <w:rPr>
          <w:rFonts w:ascii="Times New Roman" w:cs="Times New Roman" w:eastAsia="Times New Roman" w:hAnsi="Times New Roman"/>
          <w:sz w:val="18"/>
          <w:szCs w:val="18"/>
          <w:color w:val="auto"/>
        </w:rPr>
        <w:t>Subject to consultation with regulatory authorities, and contingent on the results of the Phase 1 clinical trial, we anticipate initiating the Phase 2 clinical trial of TVB-3567 in the second half of 2026.</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MASH</w:t>
      </w:r>
    </w:p>
    <w:p>
      <w:pPr>
        <w:spacing w:after="0" w:line="162" w:lineRule="exact"/>
        <w:rPr>
          <w:sz w:val="20"/>
          <w:szCs w:val="20"/>
          <w:color w:val="auto"/>
        </w:rPr>
      </w:pPr>
    </w:p>
    <w:p>
      <w:pPr>
        <w:ind w:left="1280" w:right="419" w:firstLine="360"/>
        <w:spacing w:after="0" w:line="254" w:lineRule="auto"/>
        <w:rPr>
          <w:sz w:val="20"/>
          <w:szCs w:val="20"/>
          <w:color w:val="auto"/>
        </w:rPr>
      </w:pPr>
      <w:r>
        <w:rPr>
          <w:rFonts w:ascii="Times New Roman" w:cs="Times New Roman" w:eastAsia="Times New Roman" w:hAnsi="Times New Roman"/>
          <w:sz w:val="18"/>
          <w:szCs w:val="18"/>
          <w:color w:val="auto"/>
        </w:rPr>
        <w:t>The critical role of FASN overactivity in MASH makes it an attractive target for drug therapy. Our FASN inhibitor, denifanstat, targets multiple drivers of MASH by reducing steatosis, inflammation and fibrosis. Denifanstat met all primary and multiple secondary endpoints in the Phase 2b FASCINATE-2 clinical trial evaluating denifanstat in 168 biopsy-confirmed MASH patients with stage F2 or F3 fibrosis compared to placebo at week 52. We are also developing a combination of denifanstat and the thyroid hormone receptor beta (THR-β) agonist, resmetirom (commercially available as Rezdiffra), for cirrhotic patients living with F4-stage MASH and completed a Phase 1 PK clinical trial in December 2025. We anticipate that the denifanstat and resmetirom combination program will be ready to advance into Phase 2 in the second half of 2026. We will undertake no further clinical development in MASH until non-dilutive financing is achieved.</w:t>
      </w:r>
    </w:p>
    <w:p>
      <w:pPr>
        <w:spacing w:after="0" w:line="4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Certain Unaudited Preliminary Financial Information</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estimate that our cash, cash equivalents and marketable securities were approximately</w:t>
      </w:r>
    </w:p>
    <w:p>
      <w:pPr>
        <w:spacing w:after="0" w:line="27" w:lineRule="exact"/>
        <w:rPr>
          <w:sz w:val="20"/>
          <w:szCs w:val="20"/>
          <w:color w:val="auto"/>
        </w:rPr>
      </w:pPr>
    </w:p>
    <w:p>
      <w:pPr>
        <w:ind w:left="1280" w:right="419"/>
        <w:spacing w:after="0" w:line="251" w:lineRule="auto"/>
        <w:rPr>
          <w:sz w:val="20"/>
          <w:szCs w:val="20"/>
          <w:color w:val="auto"/>
        </w:rPr>
      </w:pPr>
      <w:r>
        <w:rPr>
          <w:rFonts w:ascii="Times New Roman" w:cs="Times New Roman" w:eastAsia="Times New Roman" w:hAnsi="Times New Roman"/>
          <w:sz w:val="18"/>
          <w:szCs w:val="18"/>
          <w:color w:val="auto"/>
        </w:rPr>
        <w:t>$104.5 million as of March 31, 2026. This amount is unaudited and preliminary and is subject to completion of financial closing procedures, including the completion of management’s reviews. As a result, this amount reflects our preliminary estimate with respect to such information, based on information currently available for management, and may vary from our actual financial position as of March 31, 2026. Further, this preliminary estimate is not a comprehensive statement or estimate of our financial data or financial condition as of March 31, 2026. The unaudited preliminary financial data included in this prospectus supplement have been prepared by, and are the responsibility of, our management team. KPMG LLP, our independent registered public accounting firm, has not audited, reviewed, examined, compiled, nor applied agreed-upon procedures with respect to the unaudited preliminary financial data. Accordingly, KPMG LLP does not express an opinion or any other form of assurance with respect thereto. It is possible that we may identify items that require us to make adjustments to the financial information set forth above. This preliminary estimate should not be viewed as a substitute for financial statements prepared in accordance with generally accepted accounting principles in the United States and it is not necessarily indicative of the balance to be achieved in any future period. Additional information and disclosure would be required for a more complete understanding of our financial position and results of operations as of March 31, 2026. Accordingly, you should not place undue reliance on this preliminary estimate. This preliminary estimate should be read together with the sections titled “Risk Factors” and “Cautionary Note Regarding Forward-Looking Statements,” and under similar headings included in this prospectus supplement, the accompanying prospectus and in the documents incorporated by reference into this prospectus supplement and in the accompanying prospectus as well as our financial statements, related notes and other financial information incorporated by reference 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67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959"/>
        <w:spacing w:after="0" w:line="266" w:lineRule="auto"/>
        <w:rPr>
          <w:sz w:val="20"/>
          <w:szCs w:val="20"/>
          <w:color w:val="auto"/>
        </w:rPr>
      </w:pPr>
      <w:r>
        <w:rPr>
          <w:rFonts w:ascii="Times New Roman" w:cs="Times New Roman" w:eastAsia="Times New Roman" w:hAnsi="Times New Roman"/>
          <w:sz w:val="18"/>
          <w:szCs w:val="18"/>
          <w:color w:val="auto"/>
        </w:rPr>
        <w:t>this prospectus supplement and in the accompanying prospectus. We expect to complete our financial statements for the quarter ended March 31, 2026 subsequent to the completion of this offering, and consequently such financial statements will not be available to you prior to investing in this offering.</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center"/>
        <w:ind w:left="1720" w:right="140"/>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December 2006 under the name 3-V Biosciences, Inc., and changed our name to Sagimet Biosciences Inc. in August 2019. Our principal executive offices are located at 155 Bovet Road, Suite 303, San Mateo, California 94402, and our telephone number is (650) 561-8600.</w:t>
      </w:r>
    </w:p>
    <w:p>
      <w:pPr>
        <w:spacing w:after="0" w:line="108" w:lineRule="exact"/>
        <w:rPr>
          <w:sz w:val="20"/>
          <w:szCs w:val="20"/>
          <w:color w:val="auto"/>
        </w:rPr>
      </w:pPr>
    </w:p>
    <w:p>
      <w:pPr>
        <w:ind w:left="1280" w:right="579" w:firstLine="360"/>
        <w:spacing w:after="0" w:line="266" w:lineRule="auto"/>
        <w:rPr>
          <w:sz w:val="20"/>
          <w:szCs w:val="20"/>
          <w:color w:val="auto"/>
        </w:rPr>
      </w:pPr>
      <w:r>
        <w:rPr>
          <w:rFonts w:ascii="Times New Roman" w:cs="Times New Roman" w:eastAsia="Times New Roman" w:hAnsi="Times New Roman"/>
          <w:sz w:val="18"/>
          <w:szCs w:val="18"/>
          <w:color w:val="auto"/>
        </w:rPr>
        <w:t>Our website address is www.sagimet.com. Information contained on, or that can be accessed through, our website is not incorporated by reference into this prospectus supplement and the inclusion of our website address in this prospectus supplement is only an inactive textual reference.</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48" w:lineRule="exact"/>
        <w:rPr>
          <w:sz w:val="20"/>
          <w:szCs w:val="20"/>
          <w:color w:val="auto"/>
        </w:rPr>
      </w:pPr>
    </w:p>
    <w:p>
      <w:pPr>
        <w:jc w:val="both"/>
        <w:ind w:left="1280" w:right="439" w:firstLine="36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An emerging growth company may take advantage of reduced reporting requirements that are otherwise applicable to public companies. These provisions include, but are not limited to:</w:t>
      </w:r>
    </w:p>
    <w:p>
      <w:pPr>
        <w:spacing w:after="0" w:line="81" w:lineRule="exact"/>
        <w:rPr>
          <w:sz w:val="20"/>
          <w:szCs w:val="20"/>
          <w:color w:val="auto"/>
        </w:rPr>
      </w:pPr>
    </w:p>
    <w:p>
      <w:pPr>
        <w:ind w:left="1820" w:right="53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only two years of related Management’s Discussion and Analysis of Financial Condition and Results of Operations in our periodic reports and registration statements.</w:t>
      </w:r>
    </w:p>
    <w:p>
      <w:pPr>
        <w:spacing w:after="0" w:line="67" w:lineRule="exact"/>
        <w:rPr>
          <w:rFonts w:ascii="Times New Roman" w:cs="Times New Roman" w:eastAsia="Times New Roman" w:hAnsi="Times New Roman"/>
          <w:sz w:val="18"/>
          <w:szCs w:val="18"/>
          <w:color w:val="auto"/>
        </w:rPr>
      </w:pPr>
    </w:p>
    <w:p>
      <w:pPr>
        <w:ind w:left="1820" w:right="109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(the Sarbanes-Oxley Act).</w:t>
      </w:r>
    </w:p>
    <w:p>
      <w:pPr>
        <w:spacing w:after="0" w:line="53" w:lineRule="exact"/>
        <w:rPr>
          <w:rFonts w:ascii="Times New Roman" w:cs="Times New Roman" w:eastAsia="Times New Roman" w:hAnsi="Times New Roman"/>
          <w:sz w:val="18"/>
          <w:szCs w:val="18"/>
          <w:color w:val="auto"/>
        </w:rPr>
      </w:pPr>
    </w:p>
    <w:p>
      <w:pPr>
        <w:ind w:left="1820" w:right="79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w:t>
      </w:r>
    </w:p>
    <w:p>
      <w:pPr>
        <w:spacing w:after="0" w:line="53" w:lineRule="exact"/>
        <w:rPr>
          <w:rFonts w:ascii="Times New Roman" w:cs="Times New Roman" w:eastAsia="Times New Roman" w:hAnsi="Times New Roman"/>
          <w:sz w:val="18"/>
          <w:szCs w:val="18"/>
          <w:color w:val="auto"/>
        </w:rPr>
      </w:pPr>
    </w:p>
    <w:p>
      <w:pPr>
        <w:ind w:left="1820" w:right="41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94" w:lineRule="exact"/>
        <w:rPr>
          <w:sz w:val="20"/>
          <w:szCs w:val="20"/>
          <w:color w:val="auto"/>
        </w:rPr>
      </w:pPr>
    </w:p>
    <w:p>
      <w:pPr>
        <w:ind w:left="1280" w:right="459" w:firstLine="360"/>
        <w:spacing w:after="0" w:line="253" w:lineRule="auto"/>
        <w:rPr>
          <w:sz w:val="20"/>
          <w:szCs w:val="20"/>
          <w:color w:val="auto"/>
        </w:rPr>
      </w:pPr>
      <w:r>
        <w:rPr>
          <w:rFonts w:ascii="Times New Roman" w:cs="Times New Roman" w:eastAsia="Times New Roman" w:hAnsi="Times New Roman"/>
          <w:sz w:val="18"/>
          <w:szCs w:val="18"/>
          <w:color w:val="auto"/>
        </w:rPr>
        <w:t>We may take advantage of these provisions until December 31, 2028, which is the last day of our fiscal year following the fifth anniversary of the date of our initial public offering. However, if certain events occur prior to the end of such five-year period, including if we become a “large accelerated filer,” which occurs when the market value of our Series A common stock and Series B common stock that is held by non-affiliates exceeds $700 million, our annual gross revenues exceed $1.235 billion or we issue more than $1.0 billion of non-convertible debt in any three-year period, we will cease to be an emerging growth company prior to the end of such five-year period. We have elected to take advantage of these reduced disclosure obligations and may elect to take advantage of other reduced reporting requirements in future filings. As a result of these elections, the information that we provide to our stockholders may be different than you might receive from other public reporting companies.</w:t>
      </w:r>
    </w:p>
    <w:p>
      <w:pPr>
        <w:spacing w:after="0" w:line="113" w:lineRule="exact"/>
        <w:rPr>
          <w:sz w:val="20"/>
          <w:szCs w:val="20"/>
          <w:color w:val="auto"/>
        </w:rPr>
      </w:pPr>
    </w:p>
    <w:p>
      <w:pPr>
        <w:ind w:left="1280" w:right="579" w:firstLine="360"/>
        <w:spacing w:after="0" w:line="25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provision allows an emerging growth company to delay adopting new or revised accounting standards until such time as those standards would otherwise apply to private companies. We have elected to avail ourselves of this exemption and as a result, we will not be subject to the same new or revised accounting standards as other public companies that comply with the public company effective dates.</w:t>
      </w:r>
    </w:p>
    <w:p>
      <w:pPr>
        <w:spacing w:after="0" w:line="120" w:lineRule="exact"/>
        <w:rPr>
          <w:sz w:val="20"/>
          <w:szCs w:val="20"/>
          <w:color w:val="auto"/>
        </w:rPr>
      </w:pPr>
    </w:p>
    <w:p>
      <w:pPr>
        <w:ind w:left="1280" w:right="419" w:firstLine="360"/>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460" w:right="300" w:hanging="179"/>
        <w:spacing w:after="0" w:line="282" w:lineRule="auto"/>
        <w:rPr>
          <w:sz w:val="20"/>
          <w:szCs w:val="20"/>
          <w:color w:val="auto"/>
        </w:rPr>
      </w:pPr>
      <w:r>
        <w:rPr>
          <w:rFonts w:ascii="Times New Roman" w:cs="Times New Roman" w:eastAsia="Times New Roman" w:hAnsi="Times New Roman"/>
          <w:sz w:val="18"/>
          <w:szCs w:val="18"/>
          <w:color w:val="auto"/>
        </w:rPr>
        <w:t>Series A common stock offered by us</w:t>
      </w:r>
    </w:p>
    <w:p>
      <w:pPr>
        <w:spacing w:after="0" w:line="54" w:lineRule="exact"/>
        <w:rPr>
          <w:sz w:val="20"/>
          <w:szCs w:val="20"/>
          <w:color w:val="auto"/>
        </w:rPr>
      </w:pPr>
    </w:p>
    <w:p>
      <w:pPr>
        <w:ind w:left="1460" w:right="140" w:hanging="179"/>
        <w:spacing w:after="0" w:line="266" w:lineRule="auto"/>
        <w:rPr>
          <w:sz w:val="20"/>
          <w:szCs w:val="20"/>
          <w:color w:val="auto"/>
        </w:rPr>
      </w:pPr>
      <w:r>
        <w:rPr>
          <w:rFonts w:ascii="Times New Roman" w:cs="Times New Roman" w:eastAsia="Times New Roman" w:hAnsi="Times New Roman"/>
          <w:sz w:val="18"/>
          <w:szCs w:val="18"/>
          <w:color w:val="auto"/>
        </w:rPr>
        <w:t>Series A common stock to be outstanding immediately after this offering</w:t>
      </w:r>
    </w:p>
    <w:p>
      <w:pPr>
        <w:spacing w:after="0" w:line="68" w:lineRule="exact"/>
        <w:rPr>
          <w:sz w:val="20"/>
          <w:szCs w:val="20"/>
          <w:color w:val="auto"/>
        </w:rPr>
      </w:pPr>
    </w:p>
    <w:p>
      <w:pPr>
        <w:ind w:left="1460" w:right="140" w:hanging="179"/>
        <w:spacing w:after="0" w:line="266" w:lineRule="auto"/>
        <w:rPr>
          <w:sz w:val="20"/>
          <w:szCs w:val="20"/>
          <w:color w:val="auto"/>
        </w:rPr>
      </w:pPr>
      <w:r>
        <w:rPr>
          <w:rFonts w:ascii="Times New Roman" w:cs="Times New Roman" w:eastAsia="Times New Roman" w:hAnsi="Times New Roman"/>
          <w:sz w:val="18"/>
          <w:szCs w:val="18"/>
          <w:color w:val="auto"/>
        </w:rPr>
        <w:t>Series B common stock to be outstanding immediately after this offering</w:t>
      </w:r>
    </w:p>
    <w:p>
      <w:pPr>
        <w:spacing w:after="0" w:line="68" w:lineRule="exact"/>
        <w:rPr>
          <w:sz w:val="20"/>
          <w:szCs w:val="20"/>
          <w:color w:val="auto"/>
        </w:rPr>
      </w:pPr>
    </w:p>
    <w:p>
      <w:pPr>
        <w:ind w:left="1460" w:hanging="179"/>
        <w:spacing w:after="0" w:line="266" w:lineRule="auto"/>
        <w:rPr>
          <w:sz w:val="20"/>
          <w:szCs w:val="20"/>
          <w:color w:val="auto"/>
        </w:rPr>
      </w:pPr>
      <w:r>
        <w:rPr>
          <w:rFonts w:ascii="Times New Roman" w:cs="Times New Roman" w:eastAsia="Times New Roman" w:hAnsi="Times New Roman"/>
          <w:sz w:val="18"/>
          <w:szCs w:val="18"/>
          <w:color w:val="auto"/>
        </w:rPr>
        <w:t>Total Series A and Series B common stock to be outstanding immediately after this offering</w:t>
      </w:r>
    </w:p>
    <w:p>
      <w:pPr>
        <w:spacing w:after="0" w:line="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34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Nasdaq Global Market listing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29,166,700 shares.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61,120,805 shares.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567,494 shares.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61,688,299 shares.</w:t>
      </w:r>
    </w:p>
    <w:p>
      <w:pPr>
        <w:spacing w:after="0" w:line="117" w:lineRule="exact"/>
        <w:rPr>
          <w:sz w:val="20"/>
          <w:szCs w:val="20"/>
          <w:color w:val="auto"/>
        </w:rPr>
      </w:pPr>
    </w:p>
    <w:p>
      <w:pPr>
        <w:ind w:right="399"/>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the sale of our Series A common stock in this offering will be approximately $163.9 million after deducting underwriting discounts and commissions and estimated offering expenses payable by us.</w:t>
      </w:r>
    </w:p>
    <w:p>
      <w:pPr>
        <w:spacing w:after="0" w:line="112" w:lineRule="exact"/>
        <w:rPr>
          <w:sz w:val="20"/>
          <w:szCs w:val="20"/>
          <w:color w:val="auto"/>
        </w:rPr>
      </w:pPr>
    </w:p>
    <w:p>
      <w:pPr>
        <w:ind w:right="419"/>
        <w:spacing w:after="0" w:line="254" w:lineRule="auto"/>
        <w:rPr>
          <w:sz w:val="20"/>
          <w:szCs w:val="20"/>
          <w:color w:val="auto"/>
        </w:rPr>
      </w:pPr>
      <w:r>
        <w:rPr>
          <w:rFonts w:ascii="Times New Roman" w:cs="Times New Roman" w:eastAsia="Times New Roman" w:hAnsi="Times New Roman"/>
          <w:sz w:val="18"/>
          <w:szCs w:val="18"/>
          <w:color w:val="auto"/>
        </w:rPr>
        <w:t xml:space="preserve">We currently intend to use the net proceeds from this offering, together with our existing cash, cash equivalents and marketable securities to fund a Phase 3 clinical trial for denifanstat in acne, fund TVB-3567 through Phase 2 topline results, advance a topical formulation FASN inhibitor to IND submission and for general corporate purposes, including additional clinical development, working capital and operating expenses. See “Use of Proceeds” beginning on page </w:t>
      </w:r>
      <w:r>
        <w:rPr>
          <w:rFonts w:ascii="Times New Roman" w:cs="Times New Roman" w:eastAsia="Times New Roman" w:hAnsi="Times New Roman"/>
          <w:sz w:val="18"/>
          <w:szCs w:val="18"/>
          <w:u w:val="single" w:color="auto"/>
          <w:color w:val="0000EE"/>
        </w:rPr>
        <w:t>S-12</w:t>
      </w:r>
      <w:r>
        <w:rPr>
          <w:rFonts w:ascii="Times New Roman" w:cs="Times New Roman" w:eastAsia="Times New Roman" w:hAnsi="Times New Roman"/>
          <w:sz w:val="18"/>
          <w:szCs w:val="18"/>
          <w:color w:val="auto"/>
        </w:rPr>
        <w:t xml:space="preserve"> of this prospectus supplement for additional information.</w:t>
      </w:r>
    </w:p>
    <w:p>
      <w:pPr>
        <w:spacing w:after="0" w:line="80" w:lineRule="exact"/>
        <w:rPr>
          <w:sz w:val="20"/>
          <w:szCs w:val="20"/>
          <w:color w:val="auto"/>
        </w:rPr>
      </w:pPr>
    </w:p>
    <w:p>
      <w:pPr>
        <w:ind w:right="439"/>
        <w:spacing w:after="0" w:line="253" w:lineRule="auto"/>
        <w:rPr>
          <w:sz w:val="20"/>
          <w:szCs w:val="20"/>
          <w:color w:val="auto"/>
        </w:rPr>
      </w:pPr>
      <w:r>
        <w:rPr>
          <w:rFonts w:ascii="Times New Roman" w:cs="Times New Roman" w:eastAsia="Times New Roman" w:hAnsi="Times New Roman"/>
          <w:sz w:val="18"/>
          <w:szCs w:val="18"/>
          <w:color w:val="auto"/>
        </w:rPr>
        <w:t>We have two classes of common stock: Series A common stock and Series B common stock. The rights of the holders of Series A common stock and Series B common stock are identical, except with respect to voting and conversion. Each share of Series A common stock is entitled to one vote and shares of Series B common stock are non-voting, except as may be required by law. Each share of Series B common stock may be converted into one share of Series A common stock at the option of its holder, subject to the ownership limitations provided for in our amended and restated certificate of incorporation. See the section titled “Description of Capital Stock” for additional information.</w:t>
      </w:r>
    </w:p>
    <w:p>
      <w:pPr>
        <w:spacing w:after="0" w:line="82" w:lineRule="exact"/>
        <w:rPr>
          <w:sz w:val="20"/>
          <w:szCs w:val="20"/>
          <w:color w:val="auto"/>
        </w:rPr>
      </w:pPr>
    </w:p>
    <w:p>
      <w:pPr>
        <w:ind w:right="579"/>
        <w:spacing w:after="0" w:line="266" w:lineRule="auto"/>
        <w:rPr>
          <w:sz w:val="20"/>
          <w:szCs w:val="20"/>
          <w:color w:val="auto"/>
        </w:rPr>
      </w:pPr>
      <w:r>
        <w:rPr>
          <w:rFonts w:ascii="Times New Roman" w:cs="Times New Roman" w:eastAsia="Times New Roman" w:hAnsi="Times New Roman"/>
          <w:sz w:val="18"/>
          <w:szCs w:val="18"/>
          <w:color w:val="auto"/>
        </w:rPr>
        <w:t xml:space="preserve">See “Risk Factors” beginning on page </w:t>
      </w:r>
      <w:r>
        <w:rPr>
          <w:rFonts w:ascii="Times New Roman" w:cs="Times New Roman" w:eastAsia="Times New Roman" w:hAnsi="Times New Roman"/>
          <w:sz w:val="18"/>
          <w:szCs w:val="18"/>
          <w:u w:val="single" w:color="auto"/>
          <w:color w:val="0000EE"/>
        </w:rPr>
        <w:t>S-7</w:t>
      </w:r>
      <w:r>
        <w:rPr>
          <w:rFonts w:ascii="Times New Roman" w:cs="Times New Roman" w:eastAsia="Times New Roman" w:hAnsi="Times New Roman"/>
          <w:sz w:val="18"/>
          <w:szCs w:val="18"/>
          <w:color w:val="auto"/>
        </w:rPr>
        <w:t xml:space="preserve"> of this prospectus supplement for a discussion of factors you should carefully consider before deciding whether to invest in our securities.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“SGMT.”</w:t>
      </w:r>
    </w:p>
    <w:p>
      <w:pPr>
        <w:spacing w:after="0" w:line="200" w:lineRule="exact"/>
        <w:rPr>
          <w:sz w:val="20"/>
          <w:szCs w:val="20"/>
          <w:color w:val="auto"/>
        </w:rPr>
      </w:pPr>
    </w:p>
    <w:p>
      <w:pPr>
        <w:sectPr>
          <w:pgSz w:w="11900" w:h="16838" w:orient="portrait"/>
          <w:cols w:equalWidth="0" w:num="2">
            <w:col w:w="4180" w:space="560"/>
            <w:col w:w="51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59" w:firstLine="360"/>
        <w:spacing w:after="0" w:line="266" w:lineRule="auto"/>
        <w:rPr>
          <w:sz w:val="20"/>
          <w:szCs w:val="20"/>
          <w:color w:val="auto"/>
        </w:rPr>
      </w:pPr>
      <w:r>
        <w:rPr>
          <w:rFonts w:ascii="Times New Roman" w:cs="Times New Roman" w:eastAsia="Times New Roman" w:hAnsi="Times New Roman"/>
          <w:sz w:val="18"/>
          <w:szCs w:val="18"/>
          <w:color w:val="auto"/>
        </w:rPr>
        <w:t>The number of shares of our Series A common stock and Series B common stock to be outstanding after this offering is based on 31,954,105 shares of Series A common stock and 567,494 shares of Series B common stock outstanding as of December 31, 2025 and excludes:</w:t>
      </w:r>
    </w:p>
    <w:p>
      <w:pPr>
        <w:spacing w:after="0" w:line="68" w:lineRule="exact"/>
        <w:rPr>
          <w:sz w:val="20"/>
          <w:szCs w:val="20"/>
          <w:color w:val="auto"/>
        </w:rPr>
      </w:pPr>
    </w:p>
    <w:p>
      <w:pPr>
        <w:ind w:left="1820" w:right="499" w:hanging="182"/>
        <w:spacing w:after="0" w:line="257"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5,722,326 shares of Series A common stock issuable upon exercise of outstanding options under our 2017 Equity Incentive Plan (2017 Plan), our 2023 Stock Option and Incentive Plan (2023 Plan) and our established pool of shares of Series A common stock from which grants of stock-based compensation awards may be issued as inducement for new employees to accept employment offers from us (the Inducement Pool) as of December 31, 2025, with a weighted-average exercise price of $6.12 per share;</w:t>
      </w:r>
    </w:p>
    <w:p>
      <w:pPr>
        <w:spacing w:after="0" w:line="295" w:lineRule="exact"/>
        <w:rPr>
          <w:rFonts w:ascii="Times New Roman" w:cs="Times New Roman" w:eastAsia="Times New Roman" w:hAnsi="Times New Roman"/>
          <w:sz w:val="18"/>
          <w:szCs w:val="18"/>
          <w:color w:val="auto"/>
        </w:rPr>
      </w:pPr>
    </w:p>
    <w:p>
      <w:pPr>
        <w:ind w:left="1820" w:right="83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830,077 shares of Series A common stock issuable upon the vesting and settlement of restricted stock units outstanding as of December 31, 2025;</w:t>
      </w:r>
    </w:p>
    <w:p>
      <w:pPr>
        <w:spacing w:after="0" w:line="53" w:lineRule="exact"/>
        <w:rPr>
          <w:rFonts w:ascii="Times New Roman" w:cs="Times New Roman" w:eastAsia="Times New Roman" w:hAnsi="Times New Roman"/>
          <w:sz w:val="18"/>
          <w:szCs w:val="18"/>
          <w:color w:val="auto"/>
        </w:rPr>
      </w:pPr>
    </w:p>
    <w:p>
      <w:pPr>
        <w:ind w:left="1820" w:right="133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1,395,328 shares of Series A common stock reserved and available for future grants as of December 31, 2025 under our 2023 Plan;</w:t>
      </w:r>
    </w:p>
    <w:p>
      <w:pPr>
        <w:spacing w:after="0" w:line="53" w:lineRule="exact"/>
        <w:rPr>
          <w:rFonts w:ascii="Times New Roman" w:cs="Times New Roman" w:eastAsia="Times New Roman" w:hAnsi="Times New Roman"/>
          <w:sz w:val="18"/>
          <w:szCs w:val="18"/>
          <w:color w:val="auto"/>
        </w:rPr>
      </w:pPr>
    </w:p>
    <w:p>
      <w:pPr>
        <w:ind w:left="1820" w:right="129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361,217 shares of Series A common stock reserved and available for future issuance as of December 31, 2025 under our Inducement Pool;</w:t>
      </w:r>
    </w:p>
    <w:p>
      <w:pPr>
        <w:spacing w:after="0" w:line="53" w:lineRule="exact"/>
        <w:rPr>
          <w:rFonts w:ascii="Times New Roman" w:cs="Times New Roman" w:eastAsia="Times New Roman" w:hAnsi="Times New Roman"/>
          <w:sz w:val="18"/>
          <w:szCs w:val="18"/>
          <w:color w:val="auto"/>
        </w:rPr>
      </w:pPr>
    </w:p>
    <w:p>
      <w:pPr>
        <w:ind w:left="1820" w:right="53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644,748 shares of Series A common stock reserved for issuance as of December 31, 2025 under our Amended and Restated 2023 Employee Stock Purchase Plan (ESPP);</w:t>
      </w:r>
    </w:p>
    <w:p>
      <w:pPr>
        <w:spacing w:after="0" w:line="53" w:lineRule="exact"/>
        <w:rPr>
          <w:rFonts w:ascii="Times New Roman" w:cs="Times New Roman" w:eastAsia="Times New Roman" w:hAnsi="Times New Roman"/>
          <w:sz w:val="18"/>
          <w:szCs w:val="18"/>
          <w:color w:val="auto"/>
        </w:rPr>
      </w:pPr>
    </w:p>
    <w:p>
      <w:pPr>
        <w:ind w:left="1820" w:right="439" w:hanging="182"/>
        <w:spacing w:after="0" w:line="266"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shares of Series A common stock issuable upon exercise of an outstanding warrant to purchase 1,000 shares of Series A common stock as of December 31, 2025, with an exercise price of $69.94 per share; and</w:t>
      </w:r>
    </w:p>
    <w:p>
      <w:pPr>
        <w:spacing w:after="0" w:line="67" w:lineRule="exact"/>
        <w:rPr>
          <w:rFonts w:ascii="Times New Roman" w:cs="Times New Roman" w:eastAsia="Times New Roman" w:hAnsi="Times New Roman"/>
          <w:sz w:val="18"/>
          <w:szCs w:val="18"/>
          <w:color w:val="auto"/>
        </w:rPr>
      </w:pPr>
    </w:p>
    <w:p>
      <w:pPr>
        <w:ind w:left="1820" w:right="439" w:hanging="182"/>
        <w:spacing w:after="0" w:line="258"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$75.0 million of shares of our Series A common stock remaining to be sold under an “at-the-market” equity offering program that we entered into on August 14, 2025 with Leerink Partners LLC (the ATM Program). We have agreed not to make any sales under the ATM Program for the first 45 calendar days after the date of this prospectus supplement. For more information, see the section titled “Underwriting.”</w:t>
      </w:r>
    </w:p>
    <w:p>
      <w:pPr>
        <w:spacing w:after="0" w:line="11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Unless otherwise indicated, the information in this prospectus supplement assumes:</w:t>
      </w:r>
    </w:p>
    <w:p>
      <w:pPr>
        <w:spacing w:after="0" w:line="117" w:lineRule="exact"/>
        <w:rPr>
          <w:sz w:val="20"/>
          <w:szCs w:val="20"/>
          <w:color w:val="auto"/>
        </w:rPr>
      </w:pPr>
    </w:p>
    <w:p>
      <w:pPr>
        <w:ind w:left="1820" w:right="125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stock options or warrant and no vesting or settlement of the outstanding restricted stock units summarized above.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Series A common stock involves a high degree of risk. Our business, financial condition and results of operations could be materially and adversely affected by any of these risks. If any of these risks occur, the value of our Series A common stock may decline and you may lose all or part of your investment. Before investing in our securities, you should consider carefully the risk factors set forth in this prospectus supplement, the accompanying prospectus and in any free writing prospectus that we have authorized for use in connection with this offering, along with the risk factors described in our most recent Annual Report on Form 10-K, our subsequent Quarterly Reports on Form 10-Q, and any subsequent Annual Reports on Form 10-K, Quarterly Reports on Form 10-Q or Current Reports on Form 8-K we file after the date of this prospectus supplement, as well as other information contained or incorporated by reference into this prospectus supplement and the accompanying prospectus, as updated by our subsequent filings under the Securities Exchange Act of 1934, as amended, or the Exchange Act.</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left="12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and expect to incur substantial future losses. If this offering is not completed, or if we do not raise sufficient funds by other means, we may be forced to delay, reduce and/or eliminate one or more of our development programs or future commercialization efforts.</w:t>
      </w:r>
    </w:p>
    <w:p>
      <w:pPr>
        <w:spacing w:after="0" w:line="107"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we expect to incur significant operating losses for the foreseeable future as we continue our clinical trials and development programs for denifanstat, TVB-3567 and other future drug candidates. We had cash, cash equivalents and marketable securities of $113.1 million as of December 31, 2025. Based on our current operating plan, we believe that our existing cash, cash equivalents and marketable securities, and the net proceeds from this offering will be sufficient to fund our operating expenses for at least the next 12 months from the issuance of our next quarterly financial statements. There is no assurance that we will be successful in obtaining sufficient funding on acceptable terms, if at all. If we are unable to obtain sufficient funding when needed and/or on acceptable terms, we may may be forced to delay, reduce and/or eliminate one or more of our development programs or future commercialization efforts. There is no assurance that we will be successful in obtaining sufficient funding on acceptable terms, if at all, which may adversely affect our stock price and our ability to raise capital. If we are unable to obtain additional capital, we may not be able to continue our operations on the scope or scale as currently conducted, and that could have a material adverse effect on our business, results of operations and financial condition.</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Series A common stock and this offering</w:t>
      </w:r>
    </w:p>
    <w:p>
      <w:pPr>
        <w:spacing w:after="0" w:line="225" w:lineRule="exact"/>
        <w:rPr>
          <w:sz w:val="20"/>
          <w:szCs w:val="20"/>
          <w:color w:val="auto"/>
        </w:rPr>
      </w:pPr>
    </w:p>
    <w:p>
      <w:pPr>
        <w:ind w:left="1260" w:right="1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securities in this offering, you will experience immediate and substantial dilution and may experience additional dilution in the future.</w:t>
      </w:r>
    </w:p>
    <w:p>
      <w:pPr>
        <w:spacing w:after="0" w:line="7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Investors in this offering will pay a price per share of Series A common stock that substantially exceeds the as adjusted net tangible book value per share. As a result, investors in this offering will incur immediate dilution of $1.54 per share, representing the difference between the offering price of $6.00 and our as adjusted net tangible book value as of December 31, 2025. Additionally, to the extent outstanding options to purchase shares of our Series A common stock are exercised, new investors may incur further dilution. For more information on the dilution you may suffer as a result of investing in this offering, see “Dilution” in this prospectus supplement.</w:t>
      </w:r>
    </w:p>
    <w:p>
      <w:pPr>
        <w:spacing w:after="0" w:line="33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Additionally, we expect that significant additional capital may be needed in the future to continue our planned operations, including further development of our drug candidates, conducting clinical trials, commercialization efforts and expanded research and development activities. To raise capital, we may sell Series A common stock, convertible securities or other equity securities in one or more transactions at prices and in a manner we determine from time to time. If we sell Series A common stock, convertible securities or other equity securities, investors may be materially diluted by subsequent sales. Such sales may also result in material dilution to our existing stockholders, and new investors could gain rights, preferences and privileges senior to the investors participating in this offering.</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allocate the net proceeds from this offering in ways that you and other stockholders may not approve.</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titled “Use of Proceeds” in this prospectus supplement.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If we do not invest or apply the net proceeds from this offering in ways that enhance stockholder value, we may fail to achieve expected results, which could cause our Series A common stock price to decline.</w:t>
      </w:r>
    </w:p>
    <w:p>
      <w:pPr>
        <w:spacing w:after="0" w:line="196" w:lineRule="exact"/>
        <w:rPr>
          <w:sz w:val="20"/>
          <w:szCs w:val="20"/>
          <w:color w:val="auto"/>
        </w:rPr>
      </w:pPr>
    </w:p>
    <w:p>
      <w:pPr>
        <w:ind w:left="1260" w:right="6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of shares of our Series A common stock in the public market, or the perception that such sales could occur, could cause our stock price to fall.</w:t>
      </w:r>
    </w:p>
    <w:p>
      <w:pPr>
        <w:spacing w:after="0" w:line="9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Sales of a substantial number of shares of our Series A common stock or other equity-related securities in the public market, or the perception in the market that such sales could occur, could reduce the market price of our Series A common stock and impair our ability to raise capital through the sale of additional equity securities. In August 2025, we entered into a Sales Agreement with Leerink Partners LLC to establish an at-the-market offering program through which we may sell, from time to time at our sole discretion, up to $75.0 million shares of our Series A common stock. There were no sales under the ATM Program during the year ended December 31, 2025. No prediction can be made as to the effect, if any, that future sales of Series A common stock or other equity securities or the availability of Series A common stock for future sales will have on the trading price of our Series A common stock.</w:t>
      </w:r>
    </w:p>
    <w:p>
      <w:pPr>
        <w:spacing w:after="0" w:line="11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this offering, we and our directors and executive officers have agreed that for a period of 45 days following the date of this prospectus supplement, subject to certain exceptions, we or they will not sell, dispose of or hedge any shares of our Series A common stock or securities convertible into or exchangeable or exercisable for any shares of our Series A common stock without the prior written consent of Leerink Partners LLC and TD Securities (USA) LLC. See the section titled “Underwriting” in this prospectus supplement for a more complete description of the lock- up agreements with the underwriters. Sales of a substantial number of such shares upon expiration of the lock-up agreements, the perception that such sales may occur, or early release of these agreements, could cause our market price to fall or make it more difficult for you to sell your Series A common stock at a time and price that you deem appropriate.</w:t>
      </w:r>
    </w:p>
    <w:p>
      <w:pPr>
        <w:spacing w:after="0" w:line="183" w:lineRule="exact"/>
        <w:rPr>
          <w:sz w:val="20"/>
          <w:szCs w:val="20"/>
          <w:color w:val="auto"/>
        </w:rPr>
      </w:pPr>
    </w:p>
    <w:p>
      <w:pPr>
        <w:ind w:left="126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7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Series A common stock will be the sole source of gain for our stockholders in the foreseeable future. Any return to stockholders will therefore be limited to the appreciation of their stock. There is no guarantee our Series A common stock will appreciate in value or even maintain the price at which stockholders have purchased their shares.</w:t>
      </w:r>
    </w:p>
    <w:p>
      <w:pPr>
        <w:spacing w:after="0" w:line="191" w:lineRule="exact"/>
        <w:rPr>
          <w:sz w:val="20"/>
          <w:szCs w:val="20"/>
          <w:color w:val="auto"/>
        </w:rPr>
      </w:pPr>
    </w:p>
    <w:p>
      <w:pPr>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 and purchasers of our Series A common stock could incur substantial losses.</w:t>
      </w:r>
    </w:p>
    <w:p>
      <w:pPr>
        <w:spacing w:after="0" w:line="90"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The market price for our Series A common stock may be influenced by various factors, many of which are beyond our control, including, but not limited to:</w:t>
      </w:r>
    </w:p>
    <w:p>
      <w:pPr>
        <w:spacing w:after="0" w:line="61"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denifanstat or potential future drug candidates through clinical development;</w:t>
      </w:r>
    </w:p>
    <w:p>
      <w:pPr>
        <w:spacing w:after="0" w:line="10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denifanstat or potential future drug candidates, or those of our competitors or potential collaborative partners;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drug candidates;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w:t>
      </w: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3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future commercialization partners,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authorities with respect to our drug candidates, potential products, clinical trials, manufacturing process or sales and marketing terms;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53" w:lineRule="exact"/>
        <w:rPr>
          <w:rFonts w:ascii="Times New Roman" w:cs="Times New Roman" w:eastAsia="Times New Roman" w:hAnsi="Times New Roman"/>
          <w:sz w:val="18"/>
          <w:szCs w:val="18"/>
          <w:color w:val="auto"/>
        </w:rPr>
      </w:pPr>
    </w:p>
    <w:p>
      <w:pPr>
        <w:ind w:left="1800" w:right="125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drug candidates;</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future collaborations, including, but not limited to, those with our sources of manufacturing supply and our commercialization partners;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biopharmaceutical and biotechnology sectors;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financing efforts or capital commitments;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securities analyst recommendations regarding our Series A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Series A 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Series A common stock by us or our stockholders;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volatility in the credit and financial markets and inflationary pressures;</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 including Russia’s invasion of Ukraine and the conflict in Israel;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earthquakes, and other calamities;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15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Series A common stock, regardless of our operating performance.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 contain these identifying words.</w:t>
      </w:r>
    </w:p>
    <w:p>
      <w:pPr>
        <w:spacing w:after="0" w:line="118"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prospectus supplement, the accompanying prospectus and the documents incorporated herein by reference include, among other things, statements about:</w:t>
      </w:r>
    </w:p>
    <w:p>
      <w:pPr>
        <w:spacing w:after="0" w:line="54"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jc w:val="both"/>
        <w:ind w:left="1800" w:right="71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cash and the sufficiency of our existing cash, cash equivalents and marketable securities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53" w:lineRule="exact"/>
        <w:rPr>
          <w:rFonts w:ascii="Times New Roman" w:cs="Times New Roman" w:eastAsia="Times New Roman" w:hAnsi="Times New Roman"/>
          <w:sz w:val="18"/>
          <w:szCs w:val="18"/>
          <w:color w:val="auto"/>
        </w:rPr>
      </w:pPr>
    </w:p>
    <w:p>
      <w:pPr>
        <w:ind w:left="1800" w:right="479" w:hanging="180"/>
        <w:spacing w:after="0" w:line="275"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developing denifanstat, TVB-3567 or any other drug candidates or combination therapies we may develop, and conducting preclinical studies and clinical trials;</w:t>
      </w:r>
    </w:p>
    <w:p>
      <w:pPr>
        <w:spacing w:after="0" w:line="281"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drug candidates into, and successfully complete, clinical trials within anticipated timelines;</w:t>
      </w:r>
    </w:p>
    <w:p>
      <w:pPr>
        <w:spacing w:after="0" w:line="40"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involved in obtaining and maintaining regulatory approval of denifanstat, TVB-3567 or any other drug candidates or combination therapies we may develop, and the timing or likelihood of regulatory filings and approvals, including our expectation to seek special designations or accelerated approvals for our drug candidates for various indications;</w:t>
      </w:r>
    </w:p>
    <w:p>
      <w:pPr>
        <w:spacing w:after="0" w:line="71" w:lineRule="exact"/>
        <w:rPr>
          <w:rFonts w:ascii="Times New Roman" w:cs="Times New Roman" w:eastAsia="Times New Roman" w:hAnsi="Times New Roman"/>
          <w:sz w:val="18"/>
          <w:szCs w:val="18"/>
          <w:color w:val="auto"/>
        </w:rPr>
      </w:pPr>
    </w:p>
    <w:p>
      <w:pPr>
        <w:ind w:left="1800" w:right="87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agreements with third parties in connection with the development and commercialization of denifanstat, TVB-3567 or any other future drug candidate or combination therapy;</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the number of patients in the United States who suffer from the diseases we target and the number of subjects that will enroll in our clinical trials;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Ascletis BioScience Co. Ltd. (Ascletis), and its affiliate Gannex Pharma Co., Ltd. (Gannex), and the success of their development and registration efforts for denifanstat in China;</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the safety and efficacy of denifanstat, TVB-3567 and any other drug candidates or combination therapies we may develop;</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denifanstat, TVB-3567 and any other drug candidates or combination therapies we may develop, if approved, including the geographic areas of focus and our ability to build a commercial organization;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0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drug candidates and therapies;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denifanstat, TVB-3567 and any other drug candidates or combination therapies we may develop, including additional indications that we may pursue for denifanstat, TVB-3567 or other drug candidates or combination therapies;</w:t>
      </w:r>
    </w:p>
    <w:p>
      <w:pPr>
        <w:spacing w:after="0" w:line="6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non-dilutive funding or enter into a strategic collaboration to initiate future clinical trials for our combination of denifanstat and resmetirom in metabolic dysfunction-associated steatohepatitis (MASH), formerly known as nonalcoholic steatohepatitis (NASH);</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denifanstat, TVB-3567 and any other drug candidates or combination therapies we may develop for clinical trials and for commercial use, if approved;</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denifanstat, TVB-3567 and any other drug candidates or combination therapies we may develop, as well as the pricing and reimbursement of denifanstat, TVB-3567 and any other drug candidates or combination therapies we may develop, if approved;</w:t>
      </w:r>
    </w:p>
    <w:p>
      <w:pPr>
        <w:spacing w:after="0" w:line="67" w:lineRule="exact"/>
        <w:rPr>
          <w:rFonts w:ascii="Times New Roman" w:cs="Times New Roman" w:eastAsia="Times New Roman" w:hAnsi="Times New Roman"/>
          <w:sz w:val="18"/>
          <w:szCs w:val="18"/>
          <w:color w:val="auto"/>
        </w:rPr>
      </w:pPr>
    </w:p>
    <w:p>
      <w:pPr>
        <w:ind w:left="1800" w:right="639" w:hanging="180"/>
        <w:spacing w:after="0" w:line="275"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protect and enforce intellectual property protection for denifanstat, TVB-3567 and for any other future drug candidate or combination therapy;</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anticipated benefits of any strategic transactions;</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the continued service of our key personnel and to identify, hire, and then retain additional qualified personnel and our ability to attract additional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and geopolitical turmoil on our business and operations;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JOBS Act;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cash equivalents and marketable securities, and the proceeds from this offering.</w:t>
      </w:r>
    </w:p>
    <w:p>
      <w:pPr>
        <w:spacing w:after="0" w:line="9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documents incorporated by reference herein and therein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supplement, the accompany prospectus and any related free writing prospectus, and under similar headings in the other documents that are incorporated by reference into this prospectus supplement and the accompanying prospectus.</w:t>
      </w:r>
    </w:p>
    <w:p>
      <w:pPr>
        <w:spacing w:after="0" w:line="337"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supplement, the accompanying prospectus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supplement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from the sale of the shares of Series A common stock in this offering will be approximately $163.9 million after deducting underwriting discounts and commissions and estimated offering expenses payable by us.</w:t>
      </w:r>
    </w:p>
    <w:p>
      <w:pPr>
        <w:spacing w:after="0" w:line="108"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existing cash, cash equivalents and marketable securities to fund a Phase 3 clinical trial for denifanstat in acne, fund TVB-3567 through Phase 2 topline results, advance a topical formulation FASN inhibitor to IND submission and for general corporate purposes, including additional clinical development, working capital and operating expenses.</w:t>
      </w:r>
    </w:p>
    <w:p>
      <w:pPr>
        <w:spacing w:after="0" w:line="32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Our expected use of the net proceeds from this offering represents our intentions based upon our current plans and business conditions. We cannot predict with certainty all of the particular uses for the net proceeds to be received upon the completion of this offering or the amounts that we will actually spend on the uses set forth above and we may require additional funds in order to fully accomplish the specified uses listed above. We may also use a portion of the remaining net proceeds and our existing cash, cash equivalents and marketable securities to in-license, acquire, or invest in complementary businesses, technologies, products or assets. However, we have no current commitments or obligations to do so.</w:t>
      </w:r>
    </w:p>
    <w:p>
      <w:pPr>
        <w:spacing w:after="0" w:line="12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time and cost necessary to conduct our planned clinical trials, the results of our planned clinical trials and other factors described in the section titled “Risk Factors” in this prospectus supplement and the accompanying prospectus, including the information incorporated by reference herein and therein, as well as the amount of cash used in our operations and any unforeseen cash needs. Therefore, our actual expenditures may differ materially from the estimates described above. We may find it necessary or advisable to use the net proceeds for other purposes, and we will have broad discretion in the application of the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do not anticipate declaring or paying, in the foreseeable future, any cash dividends on our capital stock. We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If you invest in this offering, your ownership interest will be diluted to the extent of the difference between the offering price per share of our Series A common stock and the as adjusted net tangible book value per share of our Series A common stock immediately after this offering.</w:t>
      </w:r>
    </w:p>
    <w:p>
      <w:pPr>
        <w:spacing w:after="0" w:line="108"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Our historical net tangible book value as of December 31, 2025 was $111.3 million, or $3.42 per share of our common stock. Our historical net tangible book value per share represents historical net tangible book value divided by the number of shares of Series A and Series B common stock outstanding as of December 31, 2025. After giving effect to the issuance and sale of 29,166,700 shares of our Series A common stock in this offering at the offering price of $6.00 and after deducting the underwriting discounts and commissions and estimated offering expenses payable by us, our as adjusted net tangible book value as of December 31, 2025 would have been approximately $275.2 million, or $4.46 per share. This amount represents an immediate increase in our net tangible book value of $1.04 per share to our existing stockholders and an immediate dilution in net tangible book value of $1.54 per share to new investors purchasing securities in this offering. The following table illustrates this dilution:</w:t>
      </w:r>
    </w:p>
    <w:p>
      <w:pPr>
        <w:spacing w:after="0" w:line="154"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 of Series A common stock</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Historical net tangible book value per share as of December 31, 2025</w:t>
            </w:r>
          </w:p>
        </w:tc>
        <w:tc>
          <w:tcPr>
            <w:tcW w:w="12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​​$3.42​​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20" w:type="dxa"/>
            <w:vAlign w:val="bottom"/>
            <w:shd w:val="clear" w:color="auto" w:fill="CCEEFF"/>
          </w:tcPr>
          <w:p>
            <w:pPr>
              <w:spacing w:after="0"/>
              <w:rPr>
                <w:sz w:val="19"/>
                <w:szCs w:val="19"/>
                <w:color w:val="auto"/>
              </w:rPr>
            </w:pPr>
          </w:p>
        </w:tc>
        <w:tc>
          <w:tcPr>
            <w:tcW w:w="6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Increase in net tangible book value per share as of December 31, 2025 attributable to</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investors purchasing shares in this offering</w:t>
            </w:r>
          </w:p>
        </w:tc>
        <w:tc>
          <w:tcPr>
            <w:tcW w:w="126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1.04​​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94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​4.46</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68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640" w:type="dxa"/>
            <w:vAlign w:val="bottom"/>
            <w:tcBorders>
              <w:top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1.54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682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3"/>
                <w:szCs w:val="3"/>
                <w:b w:val="1"/>
                <w:bCs w:val="1"/>
                <w:color w:val="auto"/>
              </w:rPr>
              <w:t>​</w:t>
            </w:r>
            <w:r>
              <w:rPr>
                <w:rFonts w:ascii="Times New Roman" w:cs="Times New Roman" w:eastAsia="Times New Roman" w:hAnsi="Times New Roman"/>
                <w:sz w:val="3"/>
                <w:szCs w:val="3"/>
                <w:color w:val="auto"/>
              </w:rPr>
              <w:t>​ ​​</w:t>
            </w:r>
          </w:p>
        </w:tc>
        <w:tc>
          <w:tcPr>
            <w:tcW w:w="340" w:type="dxa"/>
            <w:vAlign w:val="bottom"/>
            <w:shd w:val="clear" w:color="auto" w:fill="CCEEFF"/>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946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46015" cy="8890"/>
                    </a:xfrm>
                    <a:prstGeom prst="rect">
                      <a:avLst/>
                    </a:prstGeom>
                    <a:noFill/>
                  </pic:spPr>
                </pic:pic>
              </a:graphicData>
            </a:graphic>
          </wp:anchor>
        </w:drawing>
      </w:r>
    </w:p>
    <w:p>
      <w:pPr>
        <w:spacing w:after="0" w:line="191"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foregoing tables and calculations (other than the historical net tangible book value calculation) are based on 31,954,105 shares of Series A common stock and 567,494 shares of Series B common stock outstanding as of December 31, 2025 and exclude:</w:t>
      </w:r>
    </w:p>
    <w:p>
      <w:pPr>
        <w:spacing w:after="0" w:line="68" w:lineRule="exact"/>
        <w:rPr>
          <w:sz w:val="20"/>
          <w:szCs w:val="20"/>
          <w:color w:val="auto"/>
        </w:rPr>
      </w:pPr>
    </w:p>
    <w:p>
      <w:pPr>
        <w:ind w:left="1800" w:right="5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5,722,326 shares of Series A common stock issuable upon exercise of outstanding options under our 2017 Plan, 2023 Plan and Inducement Pool as of December 31, 2025, with a weighted-average exercise price of $6.12 per share;</w:t>
      </w:r>
    </w:p>
    <w:p>
      <w:pPr>
        <w:spacing w:after="0" w:line="6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830,077 shares of Series A common stock issuable upon the vesting and settlement of restricted stock units outstanding as of December 31, 2025;</w:t>
      </w:r>
    </w:p>
    <w:p>
      <w:pPr>
        <w:spacing w:after="0" w:line="53" w:lineRule="exact"/>
        <w:rPr>
          <w:rFonts w:ascii="Times New Roman" w:cs="Times New Roman" w:eastAsia="Times New Roman" w:hAnsi="Times New Roman"/>
          <w:sz w:val="18"/>
          <w:szCs w:val="18"/>
          <w:color w:val="auto"/>
        </w:rPr>
      </w:pPr>
    </w:p>
    <w:p>
      <w:pPr>
        <w:ind w:left="1800" w:right="13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1,395,328 shares of Series A common stock reserved and available for future grants as of December 31, 2025 under our 2023 Plan;</w:t>
      </w:r>
    </w:p>
    <w:p>
      <w:pPr>
        <w:spacing w:after="0" w:line="53" w:lineRule="exact"/>
        <w:rPr>
          <w:rFonts w:ascii="Times New Roman" w:cs="Times New Roman" w:eastAsia="Times New Roman" w:hAnsi="Times New Roman"/>
          <w:sz w:val="18"/>
          <w:szCs w:val="18"/>
          <w:color w:val="auto"/>
        </w:rPr>
      </w:pPr>
    </w:p>
    <w:p>
      <w:pPr>
        <w:ind w:left="1800" w:right="13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361,217 shares of Series A common stock reserved and available for future issuance as of December 31, 2025 under our Inducement Pool;</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644,748 shares of Series A common stock reserved for issuance as of December 31, 2025 under our ESPP;</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shares of Series A common stock issuable upon exercise of an outstanding warrant to purchase 1,000 shares of Series A common stock as of December 31, 2025, with an exercise price of $69.94 per share; and</w:t>
      </w:r>
    </w:p>
    <w:p>
      <w:pPr>
        <w:spacing w:after="0" w:line="6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$75.0 million of shares of our Series A common stock remaining to be sold under the ATM Program.</w:t>
      </w:r>
    </w:p>
    <w:p>
      <w:pPr>
        <w:spacing w:after="0" w:line="94"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To the extent any outstanding options or warrants are exercised, restricted stock units are vested and settled, new options or other equity awards are issued under our equity incentive plans, or we issue additional equity or convertible debt securities in the future, there will be further dilution to new investors.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A Common Stock</w:t>
      </w:r>
    </w:p>
    <w:p>
      <w:pPr>
        <w:spacing w:after="0" w:line="162" w:lineRule="exact"/>
        <w:rPr>
          <w:sz w:val="20"/>
          <w:szCs w:val="20"/>
          <w:color w:val="auto"/>
        </w:rPr>
      </w:pPr>
    </w:p>
    <w:p>
      <w:pPr>
        <w:jc w:val="both"/>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We are offering shares of our Series A common stock in this offering. See “Description of Capital Stock” in the accompanying prospectus for more information regarding our shares of Series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considerations to U.S. holders and non-U.S. holders (each, as defined below) of the purchase, ownership and disposition of shares of our Series A common stock issued pursuant to this offering (the Shares). All prospective holders of our Shares should consult their tax advisors with respect to the U.S. federal, state, local and non-U.S. tax consequences of the purchase, ownership and disposition of our Shares.</w:t>
      </w:r>
    </w:p>
    <w:p>
      <w:pPr>
        <w:spacing w:after="0" w:line="114"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purchase, ownership and disposition of our Shares. This discussion is based on current provisions of the U.S. Internal Revenue Code of 1986, as amended(the Code), existing U.S. Treasury Regulations promulgated thereunder, published administrative pronouncements and rulings of the U.S. Internal Revenue Service (the IRS), and judicial decisions, all as in effect as of the date of this prospectus supplement. These authorities are subject to change and to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Shares.</w:t>
      </w:r>
    </w:p>
    <w:p>
      <w:pPr>
        <w:spacing w:after="0" w:line="326"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assume in this discussion that a holder holds our Shares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any alternative minimum, Medicare contribution, estate or gift tax consequences, the special tax accounting rules under Section 451(b) of the Code, or any aspects of U.S. state, local or non-U.S. taxes or any other U.S. federal non-income tax laws. This discussion also does not address consequences relevant to holders subject to special tax rules, such as holders that own, or are deemed to own, more than 5% of our capital stock (except to the extent specifically set forth below), holders of our Series B common stock,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tax-qualified retirement plans, holders who hold or receive our Shares in connection with employee share incentive plans, pursuant to the exercise of employee stock options or otherwise as compensation, holders holding our Shares as part of a hedge, straddle or other risk reduction strategy, conversion transaction or other integrated investment, holders deemed to sell our Shares under the constructive sale provisions of the Code, controlled foreign corporations, passive foreign investment companies and certain former U.S. citizens or long-term residents.</w:t>
      </w:r>
    </w:p>
    <w:p>
      <w:pPr>
        <w:spacing w:after="0" w:line="32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or disregarded entities for U.S. federal income tax purposes) or persons that hold our Shares through such partnerships. If a partnership (or any entity or arrangement treated as a partnership or other pass-through or disregarded entity for U.S. federal income tax purposes) holds our Shares,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Shares.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Definition of U.S. Holder</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a “U.S. holder” means a beneficial owner of our Shares (other than a partnership or an</w:t>
      </w:r>
    </w:p>
    <w:p>
      <w:pPr>
        <w:spacing w:after="0" w:line="27" w:lineRule="exact"/>
        <w:rPr>
          <w:sz w:val="20"/>
          <w:szCs w:val="20"/>
          <w:color w:val="auto"/>
        </w:rPr>
      </w:pPr>
    </w:p>
    <w:p>
      <w:pPr>
        <w:ind w:left="1260" w:right="539"/>
        <w:spacing w:after="0" w:line="245" w:lineRule="auto"/>
        <w:rPr>
          <w:sz w:val="20"/>
          <w:szCs w:val="20"/>
          <w:color w:val="auto"/>
        </w:rPr>
      </w:pPr>
      <w:r>
        <w:rPr>
          <w:rFonts w:ascii="Times New Roman" w:cs="Times New Roman" w:eastAsia="Times New Roman" w:hAnsi="Times New Roman"/>
          <w:sz w:val="18"/>
          <w:szCs w:val="18"/>
          <w:color w:val="auto"/>
        </w:rPr>
        <w:t>entity or arrangement treated as a partnership for U.S. federal income tax purposes) that is, for U.S. federal income tax purposes:</w:t>
      </w:r>
    </w:p>
    <w:p>
      <w:pPr>
        <w:spacing w:after="0" w:line="72"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44" w:lineRule="exact"/>
        <w:rPr>
          <w:rFonts w:ascii="Times New Roman" w:cs="Times New Roman" w:eastAsia="Times New Roman" w:hAnsi="Times New Roman"/>
          <w:sz w:val="18"/>
          <w:szCs w:val="18"/>
          <w:color w:val="auto"/>
        </w:rPr>
      </w:pPr>
    </w:p>
    <w:p>
      <w:pPr>
        <w:ind w:left="1800" w:right="519" w:hanging="180"/>
        <w:spacing w:after="0" w:line="263"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the Shares</w:t>
      </w:r>
    </w:p>
    <w:p>
      <w:pPr>
        <w:spacing w:after="0" w:line="162"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As described in the section entitled “Dividend Policy,” we do not anticipate declaring or paying any future distributions. However, if we do make distributions on the Shares, such distributions will constitute dividends to the extent paid from our current or accumulated earnings and profits, as determined under U.S. federal income tax principles, and will be includible in your income as ordinary income when received. However, with respect to dividends received by individuals, such dividends are generally taxed at the lower applicable long-term capital gains rates, provided certain holding period and other requirements are satisfied. If a distribution exceeds our current and accumulated earnings and profits, the excess will be treated as a tax-free return of the U.S. holder’s investment, and will reduce such U.S. holder’s adjusted tax basis in the Shares, but not below zero. Any remaining excess will be treated as capital gain from the sale or exchange of such Shares, subject to the tax treatment described below under the heading “— Gain on Sale or Other Taxable Disposition of the Shares.”</w:t>
      </w: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Shares</w:t>
      </w:r>
    </w:p>
    <w:p>
      <w:pPr>
        <w:spacing w:after="0" w:line="148"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Upon the sale, exchange or other taxable disposition of the Shares, a U.S. holder will generally recognize capital gain or loss equal to the difference between the amount of cash and the fair market value of any property received upon the sale, exchange or other taxable disposition and such U.S. holder’s adjusted tax basis in the Shares. This capital gain or loss will be long-term capital gain or loss if the U.S. holder’s holding period in such Shares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w:t>
      </w: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48" w:lineRule="exact"/>
        <w:rPr>
          <w:sz w:val="20"/>
          <w:szCs w:val="20"/>
          <w:color w:val="auto"/>
        </w:rPr>
      </w:pPr>
    </w:p>
    <w:p>
      <w:pPr>
        <w:ind w:left="1260" w:right="439" w:firstLine="360"/>
        <w:spacing w:after="0" w:line="270" w:lineRule="auto"/>
        <w:rPr>
          <w:sz w:val="20"/>
          <w:szCs w:val="20"/>
          <w:color w:val="auto"/>
        </w:rPr>
      </w:pPr>
      <w:r>
        <w:rPr>
          <w:rFonts w:ascii="Times New Roman" w:cs="Times New Roman" w:eastAsia="Times New Roman" w:hAnsi="Times New Roman"/>
          <w:sz w:val="18"/>
          <w:szCs w:val="18"/>
          <w:color w:val="auto"/>
        </w:rPr>
        <w:t>A U.S. holder may be subject to information reporting and backup withholding when such holder receives payments on our Shares or receives proceeds from the sale or other taxable disposition of our Shares. Certain U.S. holders are exempt from backup withholding, including C corporations and certain tax-exempt organizations. A U.S. holder will be subject to backup withholding if such holder is not otherwise exempt and such holder:</w:t>
      </w:r>
    </w:p>
    <w:p>
      <w:pPr>
        <w:spacing w:after="0" w:line="91" w:lineRule="exact"/>
        <w:rPr>
          <w:sz w:val="20"/>
          <w:szCs w:val="20"/>
          <w:color w:val="auto"/>
        </w:rPr>
      </w:pPr>
    </w:p>
    <w:p>
      <w:pPr>
        <w:ind w:left="1800" w:right="55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furnish the holder’s taxpayer identification number, which for an individual is ordinarily his or her social security number;</w:t>
      </w:r>
    </w:p>
    <w:p>
      <w:pPr>
        <w:spacing w:after="0" w:line="8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furnishes an incorrect taxpayer identification number;</w:t>
      </w:r>
    </w:p>
    <w:p>
      <w:pPr>
        <w:spacing w:after="0" w:line="130"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notified by the IRS that the holder previously failed to properly report payments of interest or dividends; or</w:t>
      </w:r>
    </w:p>
    <w:p>
      <w:pPr>
        <w:spacing w:after="0" w:line="80" w:lineRule="exact"/>
        <w:rPr>
          <w:rFonts w:ascii="Times New Roman" w:cs="Times New Roman" w:eastAsia="Times New Roman" w:hAnsi="Times New Roman"/>
          <w:sz w:val="18"/>
          <w:szCs w:val="18"/>
          <w:color w:val="auto"/>
        </w:rPr>
      </w:pPr>
    </w:p>
    <w:p>
      <w:pPr>
        <w:ind w:left="1800" w:right="459" w:hanging="180"/>
        <w:spacing w:after="0" w:line="275"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certify under penalties of perjury that the holder has furnished a correct taxpayer identification number and that the IRS has not notified the holder that the holder is subject to backup withholding.</w:t>
      </w:r>
    </w:p>
    <w:p>
      <w:pPr>
        <w:spacing w:after="0" w:line="322"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Definition of Non-U.S. Holder</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For purposes of this discussion, a “non- U.S. holder” is a beneficial owner of our Shares that is neither a U.S. holder nor a partnership or an entity or arrangement treated as a partnership for U.S. federal income tax purposes.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the Shares</w:t>
      </w:r>
    </w:p>
    <w:p>
      <w:pPr>
        <w:spacing w:after="0" w:line="162" w:lineRule="exact"/>
        <w:rPr>
          <w:sz w:val="20"/>
          <w:szCs w:val="20"/>
          <w:color w:val="auto"/>
        </w:rPr>
      </w:pPr>
    </w:p>
    <w:p>
      <w:pPr>
        <w:ind w:left="1260" w:right="659" w:firstLine="360"/>
        <w:spacing w:after="0" w:line="245" w:lineRule="auto"/>
        <w:rPr>
          <w:sz w:val="20"/>
          <w:szCs w:val="20"/>
          <w:color w:val="auto"/>
        </w:rPr>
      </w:pPr>
      <w:r>
        <w:rPr>
          <w:rFonts w:ascii="Times New Roman" w:cs="Times New Roman" w:eastAsia="Times New Roman" w:hAnsi="Times New Roman"/>
          <w:sz w:val="18"/>
          <w:szCs w:val="18"/>
          <w:color w:val="auto"/>
        </w:rPr>
        <w:t>If we make distributions on the Shares, such distributions will constitute dividends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and will reduce such non- U.S. holder’s adjusted tax basis in the Shares, but not below zero. Any remaining excess will be treated as capital gain from the sale or exchange of such Shares, subject to the tax treatment described below under the heading “— Gain on Sale, Exchange or Other Taxable Disposition of Our Shares.”</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Subject to the discussion below regarding effectively connected income, dividends paid to a non-U.S. holder will generally be subject to withholding of U.S. federal income tax at a 30% rate of the gross amount of the dividend or such lower rate as may be specified by an applicable income tax treaty between the United States and such non-U.S. holder’s country of residence for purposes of such treaty.</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U.S. federal income tax rates applicable to U.S. persons (as defined in the Code). A non -U.S. holder that is a foreign corporation may also, under certain circumstances, be subject to an additional “branch profits tax” equal to 30% (or such lower rate as may be specified by an applicable income tax treaty between the United States and such non-U.S. holder’s country of residence for purposes of such treaty) of its effectively connected earnings and profits for the taxable year, as adjusted for certain items.</w:t>
      </w:r>
    </w:p>
    <w:p>
      <w:pPr>
        <w:spacing w:after="0" w:line="329"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To claim a reduction or exemption from withholding, a non- U.S. holder generally will be required to provide (a) a properly executed IRS Form W-8BEN or IRS Form W-8BEN-E (or successor form) and satisfy applicable certification and other requirements to claim the benefit of an applicable income tax treaty between the United States and such non- U.S. holder’s country of residence, or (b) a properly executed IRS Form W-8ECI stating that dividends are not subject to withholding because they are effectively connected with such non-U.S. holder’s conduct of a trade or business within the United States. Non-U.S. holders are urged to consult their tax advisors regarding their entitlement to benefits under a relevant income tax treaty.</w:t>
      </w:r>
    </w:p>
    <w:p>
      <w:pPr>
        <w:spacing w:after="0" w:line="11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 non- U.S. holder that is eligible for a reduced rate of U.S. withholding tax under an income tax treaty may obtain a refund or credit of any excess amounts withheld by timely filing an appropriate claim for refund with the IRS.</w:t>
      </w:r>
    </w:p>
    <w:p>
      <w:pPr>
        <w:spacing w:after="0" w:line="109"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Distributions will also be subject to the discussion below under the headings “— Backup Withholding and Information Reporting” and “— Foreign Accounts.”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Our Shares</w:t>
      </w:r>
    </w:p>
    <w:p>
      <w:pPr>
        <w:spacing w:after="0" w:line="162"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Subject to the discussion below under the headings “— Backup Withholding and Information Reporting” and “— Foreign Accounts,” in general, a non-U.S. holder will not be subject to any U.S. federal income tax on any gain realized upon such non-U.S. holder’s sale, exchange or other taxable disposition of our Shares unless:</w:t>
      </w:r>
    </w:p>
    <w:p>
      <w:pPr>
        <w:spacing w:after="0" w:line="282" w:lineRule="exact"/>
        <w:rPr>
          <w:sz w:val="20"/>
          <w:szCs w:val="20"/>
          <w:color w:val="auto"/>
        </w:rPr>
      </w:pPr>
    </w:p>
    <w:p>
      <w:pPr>
        <w:ind w:left="1800" w:right="49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U.S. trade or business of the non-U.S. holder and, if an applicable income tax treaty so provides, is attributable to a permanent establishment or a fixed base</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61" w:lineRule="auto"/>
        <w:rPr>
          <w:sz w:val="20"/>
          <w:szCs w:val="20"/>
          <w:color w:val="auto"/>
        </w:rPr>
      </w:pPr>
      <w:r>
        <w:rPr>
          <w:rFonts w:ascii="Times New Roman" w:cs="Times New Roman" w:eastAsia="Times New Roman" w:hAnsi="Times New Roman"/>
          <w:sz w:val="18"/>
          <w:szCs w:val="18"/>
          <w:color w:val="auto"/>
        </w:rPr>
        <w:t>maintained in the United States by such non-U.S. holder, in which case the non-U.S. holder generally will be taxed at the U.S. federal income tax rates applicable to U.S. persons (as defined in the Code) and, if the non-U.S. holder is a foreign corporation, the branch profits tax described above in “— Distributions on the Shares” also may apply;</w:t>
      </w:r>
    </w:p>
    <w:p>
      <w:pPr>
        <w:spacing w:after="0" w:line="72" w:lineRule="exact"/>
        <w:rPr>
          <w:sz w:val="20"/>
          <w:szCs w:val="20"/>
          <w:color w:val="auto"/>
        </w:rPr>
      </w:pPr>
    </w:p>
    <w:p>
      <w:pPr>
        <w:ind w:left="1800" w:right="419" w:hanging="180"/>
        <w:spacing w:after="0" w:line="25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U.S. federal income tax (or such lower rate as may be specified by an applicable income tax treaty) on the net gain derived from the disposition, which may be offset by U.S. source capital losses of the non-U.S. holder, if any (even though the individual is not considered a resident of the United States); or</w:t>
      </w:r>
    </w:p>
    <w:p>
      <w:pPr>
        <w:spacing w:after="0" w:line="92" w:lineRule="exact"/>
        <w:rPr>
          <w:rFonts w:ascii="Times New Roman" w:cs="Times New Roman" w:eastAsia="Times New Roman" w:hAnsi="Times New Roman"/>
          <w:sz w:val="18"/>
          <w:szCs w:val="18"/>
          <w:color w:val="auto"/>
        </w:rPr>
      </w:pPr>
    </w:p>
    <w:p>
      <w:pPr>
        <w:ind w:left="1800" w:right="419" w:hanging="180"/>
        <w:spacing w:after="0" w:line="25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at any time during the five-year period preceding such disposition (or the non-U.S. holder’s holding period, if shorter) a “U.S. real property holding corporation” in which case such non-U.S. holder generally will be taxed on its net gain derived from the disposition as effectively connected income taxable at the U.S. federal income tax rates applicable to U.S. persons (as defined in the Code); however, the branch profits tax described above will not apply to a non-U.S. holder that is a foreign corporation. Generally, a corporation is a U.S. real property holding corporation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Even if we are or become a U.S. real property holding corporation, provided that our Series A common stock is regularly traded, as defined by applicable U.S. Treasury Regulations, on an established securities market, the Shares will be treated as a U.S. real property interest only with respect to a non-U.S. holder that holds more than 5% of our outstanding Series A common stock, directly or indirectly, actually or constructively, during the shorter of the 5-year period ending on the date of the disposition or the period that the non-U.S. holder held the Shares. There can be no assurance that our Series A common stock will continue to qualify as regularly traded on an established securities market.</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gross amount of distributions on our Shares paid to such non-U.S. holder and the tax withheld, if any, with respect to such distributions. Non-U.S. holders will have to comply with specific certification procedures to establish that the holder is not a U.S. person (as defined in the Code) in order to avoid backup withholding at the applicable rate with respect to any dividends on our Shares. A non-U.S. holder generally will not be subject to U.S. backup withholding with respect to payments of dividends on our Shares if it certifies its non-U.S. status by providing a valid IRS Form W-8BEN or IRS Form W-8BEN-E (or successor form) or IRS Form W-8ECI, or otherwise establishes an exemption; provided we do not have actual knowledge or reason to know such non-U.S. holder is a U.S. person, as defined in the Code. Dividends paid to non-U.S. holders subject to U.S. withholding tax, as described above in “— Distributions on the Shares” generally will be exempt from U.S. backup withholding.</w:t>
      </w:r>
    </w:p>
    <w:p>
      <w:pPr>
        <w:spacing w:after="0" w:line="343"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Information reporting and backup withholding will generally apply to the proceeds of a disposition of our Shares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w:t>
      </w:r>
    </w:p>
    <w:p>
      <w:pPr>
        <w:spacing w:after="0" w:line="337"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Copies of information returns may be made available to the tax authorities of the country in which the non-U.S. holder resides or is established under the provisions of a specific treaty or agreement.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from a payment to a non-U.S. holder may be allowed as a credit against the non-U.S. holder’s U.S. federal income tax liability, if any, and may entitle such holder to a refund, provided that the required information is timely furnished to the IRS.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Foreign Accounts</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Code generally imposes a U.S. federal withholding tax of 30% on dividends and, subject to the discussion below regarding proposed regulations issued by the U.S. Treasury Department, the gross proceeds of a disposition of our Shares paid to a “foreign financial institution” ​(as defined in the Code), unless such institution enters into an agreement with the U.S. government to, among other things, withhold on certain payments and to collect and provide to the U.S. tax authorities substantial information regarding accounts held by certain “specified United States persons” or “United States owned foreign entities” ​(each as defined in the Code), or otherwise qualifies for an exemption from these rules. A U.S. federal withholding tax of 30% also applies to dividends and, subject to the discussion below regarding proposed regulations issued by the U.S. Treasury Department, the gross proceeds of a disposition of our Shares paid to a “non-financial foreign entity” ​(as defined in the Code), unless such entity provides the withholding agent with either a certification that it does not have any “substantial United States owners” ​(as defined in the Code), provides information regarding each substantial United States owner of the entity, or otherwise qualifies for an exemption from these rules. Under certain circumstances, a non-U.S. holder might be eligible for refunds or credits of such taxes. An intergovernmental agreement between the United States and an applicable foreign country may modify the requirements described in this paragraph.</w:t>
      </w:r>
    </w:p>
    <w:p>
      <w:pPr>
        <w:spacing w:after="0" w:line="12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withholding provisions described above currently apply to dividends paid on our Shares. The U.S. Treasury Department released proposed regulations which, if finalized in their present form, would eliminate the U.S. federal withholding tax of 30% applicable to the gross proceeds of a sale or other disposition of our Shares. In its preamble to such proposed regulations, the U.S. Treasury Department stated that taxpayers may generally rely on the proposed regulations until final regulations are issued.</w:t>
      </w:r>
    </w:p>
    <w:p>
      <w:pPr>
        <w:spacing w:after="0" w:line="98" w:lineRule="exact"/>
        <w:rPr>
          <w:sz w:val="20"/>
          <w:szCs w:val="20"/>
          <w:color w:val="auto"/>
        </w:rPr>
      </w:pPr>
    </w:p>
    <w:p>
      <w:pPr>
        <w:ind w:left="1260" w:right="6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EACH PROSPECTIVE INVESTOR SHOULD CONSULT ITS TAX ADVISOR REGARDING THE PARTICULAR U.S. FEDERAL, STATE AND LOCAL AND NON-U.S. TAX CONSEQUENCES OF PURCHASING, HOLDING AND DISPOSING OF OUR SHARES,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Leerink Partners LLC, TD Securities (USA) LLC and Guggenheim Securities, LLC are acting as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shares of Series A common stock set forth opposite its name below.</w:t>
      </w:r>
    </w:p>
    <w:p>
      <w:pPr>
        <w:spacing w:after="0" w:line="34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8"/>
              </w:rPr>
              <w:t>Number of</w:t>
            </w:r>
          </w:p>
        </w:tc>
      </w:tr>
      <w:tr>
        <w:trPr>
          <w:trHeight w:val="214"/>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980" w:type="dxa"/>
            <w:vAlign w:val="bottom"/>
            <w:gridSpan w:val="3"/>
          </w:tcPr>
          <w:p>
            <w:pPr>
              <w:ind w:left="1700"/>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gridSpan w:val="2"/>
          </w:tcPr>
          <w:p>
            <w:pPr>
              <w:jc w:val="center"/>
              <w:ind w:left="59"/>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4"/>
                <w:szCs w:val="24"/>
                <w:b w:val="1"/>
                <w:bCs w:val="1"/>
                <w:color w:val="auto"/>
                <w:vertAlign w:val="subscript"/>
              </w:rPr>
              <w:t>​</w:t>
            </w:r>
          </w:p>
        </w:tc>
      </w:tr>
      <w:tr>
        <w:trPr>
          <w:trHeight w:val="20"/>
        </w:trPr>
        <w:tc>
          <w:tcPr>
            <w:tcW w:w="47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170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9,479,178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700" w:type="dxa"/>
            <w:vAlign w:val="bottom"/>
          </w:tcPr>
          <w:p>
            <w:pPr>
              <w:spacing w:after="0"/>
              <w:rPr>
                <w:sz w:val="22"/>
                <w:szCs w:val="22"/>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9,479,178​</w:t>
            </w:r>
          </w:p>
        </w:tc>
      </w:tr>
      <w:tr>
        <w:trPr>
          <w:trHeight w:val="25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170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5,104,173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1700" w:type="dxa"/>
            <w:vAlign w:val="bottom"/>
          </w:tcPr>
          <w:p>
            <w:pPr>
              <w:spacing w:after="0"/>
              <w:rPr>
                <w:sz w:val="22"/>
                <w:szCs w:val="22"/>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2,916,670​</w:t>
            </w:r>
          </w:p>
        </w:tc>
      </w:tr>
      <w:tr>
        <w:trPr>
          <w:trHeight w:val="25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Canaccord Genuity LLC</w:t>
            </w:r>
          </w:p>
        </w:tc>
        <w:tc>
          <w:tcPr>
            <w:tcW w:w="17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8"/>
                <w:szCs w:val="18"/>
                <w:color w:val="auto"/>
                <w:w w:val="99"/>
              </w:rPr>
              <w:t>874,999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H.C. Wainwright &amp; Co., LLC</w:t>
            </w:r>
          </w:p>
        </w:tc>
        <w:tc>
          <w:tcPr>
            <w:tcW w:w="1700" w:type="dxa"/>
            <w:vAlign w:val="bottom"/>
          </w:tcPr>
          <w:p>
            <w:pPr>
              <w:spacing w:after="0"/>
              <w:rPr>
                <w:sz w:val="22"/>
                <w:szCs w:val="22"/>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729,168​</w:t>
            </w:r>
          </w:p>
        </w:tc>
      </w:tr>
      <w:tr>
        <w:trPr>
          <w:trHeight w:val="27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JonesTrading Institutional Services LLC</w:t>
            </w:r>
          </w:p>
        </w:tc>
        <w:tc>
          <w:tcPr>
            <w:tcW w:w="17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76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8"/>
                <w:szCs w:val="18"/>
                <w:color w:val="auto"/>
                <w:w w:val="99"/>
              </w:rPr>
              <w:t>583,334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4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Pr>
          <w:p>
            <w:pPr>
              <w:spacing w:after="0"/>
              <w:rPr>
                <w:sz w:val="22"/>
                <w:szCs w:val="22"/>
                <w:color w:val="auto"/>
              </w:rPr>
            </w:pPr>
          </w:p>
        </w:tc>
        <w:tc>
          <w:tcPr>
            <w:tcW w:w="108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​29,166,700</w:t>
            </w:r>
            <w:r>
              <w:rPr>
                <w:rFonts w:ascii="Times New Roman" w:cs="Times New Roman" w:eastAsia="Times New Roman" w:hAnsi="Times New Roman"/>
                <w:sz w:val="28"/>
                <w:szCs w:val="28"/>
                <w:color w:val="auto"/>
                <w:vertAlign w:val="subscript"/>
              </w:rPr>
              <w:t>​</w:t>
            </w:r>
          </w:p>
        </w:tc>
      </w:tr>
      <w:tr>
        <w:trPr>
          <w:trHeight w:val="20"/>
        </w:trPr>
        <w:tc>
          <w:tcPr>
            <w:tcW w:w="4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-1370965</wp:posOffset>
            </wp:positionV>
            <wp:extent cx="137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spacing w:after="0" w:line="11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09"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at the offering price set forth on the cover page of this prospectus supplement and to dealers at that price less a concession not in excess of $0.216 per share. After the offering of the shares, the offering price, concession or any other term of this offering may be changed by the representatives.</w:t>
      </w:r>
    </w:p>
    <w:p>
      <w:pPr>
        <w:spacing w:after="0" w:line="110"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the offering price, underwriting discounts and commissions and proceeds, before expenses, to us.</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Per</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gridSpan w:val="5"/>
          </w:tcPr>
          <w:p>
            <w:pPr>
              <w:ind w:left="12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Share </w:t>
            </w:r>
            <w:r>
              <w:rPr>
                <w:rFonts w:ascii="Times New Roman" w:cs="Times New Roman" w:eastAsia="Times New Roman" w:hAnsi="Times New Roman"/>
                <w:sz w:val="24"/>
                <w:szCs w:val="24"/>
                <w:b w:val="1"/>
                <w:bCs w:val="1"/>
                <w:color w:val="auto"/>
                <w:vertAlign w:val="subscript"/>
              </w:rPr>
              <w:t>​ ​</w:t>
            </w:r>
          </w:p>
        </w:tc>
        <w:tc>
          <w:tcPr>
            <w:tcW w:w="6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3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3100" w:type="dxa"/>
            <w:vAlign w:val="bottom"/>
            <w:gridSpan w:val="7"/>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 ​​$6.00​​ ​​$175,000,200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0.36​​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10,500,012​</w:t>
            </w:r>
          </w:p>
        </w:tc>
      </w:tr>
      <w:tr>
        <w:trPr>
          <w:trHeight w:val="25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5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5.64​​ ​​$164,500,188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-496570</wp:posOffset>
            </wp:positionV>
            <wp:extent cx="41059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spacing w:after="0" w:line="97" w:lineRule="exact"/>
        <w:rPr>
          <w:sz w:val="20"/>
          <w:szCs w:val="20"/>
          <w:color w:val="auto"/>
        </w:rPr>
      </w:pPr>
    </w:p>
    <w:p>
      <w:pPr>
        <w:jc w:val="both"/>
        <w:ind w:left="1260" w:right="879" w:firstLine="360"/>
        <w:spacing w:after="0" w:line="250"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$625,000. We also have agreed to reimburse the underwriters for up to $25,000 for their FINRA counsel fee. In accordance with FINRA Rule 5110, this reimbursed fee is deemed underwriting compensation for this offering.</w:t>
      </w: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48" w:lineRule="exact"/>
        <w:rPr>
          <w:sz w:val="20"/>
          <w:szCs w:val="20"/>
          <w:color w:val="auto"/>
        </w:rPr>
      </w:pPr>
    </w:p>
    <w:p>
      <w:pPr>
        <w:ind w:left="1260" w:right="479" w:firstLine="360"/>
        <w:spacing w:after="0" w:line="232" w:lineRule="auto"/>
        <w:rPr>
          <w:sz w:val="20"/>
          <w:szCs w:val="20"/>
          <w:color w:val="auto"/>
        </w:rPr>
      </w:pPr>
      <w:r>
        <w:rPr>
          <w:rFonts w:ascii="Times New Roman" w:cs="Times New Roman" w:eastAsia="Times New Roman" w:hAnsi="Times New Roman"/>
          <w:sz w:val="18"/>
          <w:szCs w:val="18"/>
          <w:color w:val="auto"/>
        </w:rPr>
        <w:t>We and our executive officers, directors and certain of our stockholders agreed or will agree with the underwriters, subject to certain exceptions, during the period from the date of this prospectus supplement continuing through the date 45 days after the date of this prospectus supplement (such period, the restricted period), except with the prior written consent of Leerink Partners LLC and TD Securities (USA) LLC, not to (i) offer, sell, contract to sell, pledge, grant any option to purchase, loan, hedge, make any short sale or otherwise transfer or dispose of, directly or indirectly, or file with or confidentially submit to the SEC a registration statement under the Securities Act relating to, any of our securities that are substantially similar to the shares of Series A common stock in this offering, including but not limited to any options or warrants to purchase shares of Series A common stock or any securities that are convertible into or exchangeable for, or that represent the right to receive, Series A common stock or any such substantially similar securities,</w:t>
      </w:r>
    </w:p>
    <w:p>
      <w:pPr>
        <w:spacing w:after="0" w:line="4" w:lineRule="exact"/>
        <w:rPr>
          <w:sz w:val="20"/>
          <w:szCs w:val="20"/>
          <w:color w:val="auto"/>
        </w:rPr>
      </w:pPr>
    </w:p>
    <w:p>
      <w:pPr>
        <w:ind w:left="1260" w:right="459"/>
        <w:spacing w:after="0" w:line="226" w:lineRule="auto"/>
        <w:tabs>
          <w:tab w:leader="none" w:pos="15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hedging, swap or other agreement that transfers, in whole or in part, any of the economic consequences of ownership of the Series A common stock or any such other securities, whether any such transaction described in clauses (i) or (ii) above is to be settled by delivery of Series A common stock or such other securities, in cash or otherwise (other than the shares of Series A common stock to be sold in this offering or pursuant to employee stock option plans existing on, or upon the conversion or exchange of convertible or exchangeable securities outstanding as of, the date of this prospectus supplement) or</w:t>
      </w:r>
    </w:p>
    <w:p>
      <w:pPr>
        <w:spacing w:after="0" w:line="5" w:lineRule="exact"/>
        <w:rPr>
          <w:rFonts w:ascii="Times New Roman" w:cs="Times New Roman" w:eastAsia="Times New Roman" w:hAnsi="Times New Roman"/>
          <w:sz w:val="18"/>
          <w:szCs w:val="18"/>
          <w:color w:val="auto"/>
        </w:rPr>
      </w:pPr>
    </w:p>
    <w:p>
      <w:pPr>
        <w:ind w:left="1600" w:hanging="340"/>
        <w:spacing w:after="0"/>
        <w:tabs>
          <w:tab w:leader="none" w:pos="1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w:t>
      </w:r>
    </w:p>
    <w:p>
      <w:pPr>
        <w:spacing w:after="0" w:line="1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restrictions described above do not apply to us for certain transactions, including:</w:t>
      </w:r>
    </w:p>
    <w:p>
      <w:pPr>
        <w:spacing w:after="0" w:line="144" w:lineRule="exact"/>
        <w:rPr>
          <w:sz w:val="20"/>
          <w:szCs w:val="20"/>
          <w:color w:val="auto"/>
        </w:rPr>
      </w:pPr>
    </w:p>
    <w:p>
      <w:pPr>
        <w:ind w:left="2080" w:hanging="460"/>
        <w:spacing w:after="0"/>
        <w:tabs>
          <w:tab w:leader="none" w:pos="2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by us in this offering;</w:t>
      </w:r>
    </w:p>
    <w:p>
      <w:pPr>
        <w:spacing w:after="0" w:line="144" w:lineRule="exact"/>
        <w:rPr>
          <w:rFonts w:ascii="Times New Roman" w:cs="Times New Roman" w:eastAsia="Times New Roman" w:hAnsi="Times New Roman"/>
          <w:sz w:val="18"/>
          <w:szCs w:val="18"/>
          <w:color w:val="auto"/>
        </w:rPr>
      </w:pPr>
    </w:p>
    <w:p>
      <w:pPr>
        <w:ind w:left="2080" w:right="659" w:hanging="460"/>
        <w:spacing w:after="0" w:line="266" w:lineRule="auto"/>
        <w:tabs>
          <w:tab w:leader="none" w:pos="2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Series A common stock issued by us upon the exercise of an option or warrant or the conversion of a security outstanding on the date of this prospectus supplement and as described in this prospectus supplement;</w:t>
      </w:r>
    </w:p>
    <w:p>
      <w:pPr>
        <w:spacing w:after="0" w:line="81" w:lineRule="exact"/>
        <w:rPr>
          <w:rFonts w:ascii="Times New Roman" w:cs="Times New Roman" w:eastAsia="Times New Roman" w:hAnsi="Times New Roman"/>
          <w:sz w:val="18"/>
          <w:szCs w:val="18"/>
          <w:color w:val="auto"/>
        </w:rPr>
      </w:pPr>
    </w:p>
    <w:p>
      <w:pPr>
        <w:ind w:left="2080" w:right="519" w:hanging="460"/>
        <w:spacing w:after="0" w:line="266" w:lineRule="auto"/>
        <w:tabs>
          <w:tab w:leader="none" w:pos="2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Series A common stock issued or options to purchase Series A common stock granted pursuant to an employee benefit or equity incentive plans as described in this prospectus supplement;</w:t>
      </w:r>
    </w:p>
    <w:p>
      <w:pPr>
        <w:spacing w:after="0" w:line="94" w:lineRule="exact"/>
        <w:rPr>
          <w:rFonts w:ascii="Times New Roman" w:cs="Times New Roman" w:eastAsia="Times New Roman" w:hAnsi="Times New Roman"/>
          <w:sz w:val="18"/>
          <w:szCs w:val="18"/>
          <w:color w:val="auto"/>
        </w:rPr>
      </w:pPr>
    </w:p>
    <w:p>
      <w:pPr>
        <w:ind w:left="2080" w:right="479" w:hanging="460"/>
        <w:spacing w:after="0" w:line="282" w:lineRule="auto"/>
        <w:tabs>
          <w:tab w:leader="none" w:pos="2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Series A common stock issued pursuant to any non-employee director stock plan or dividend reinvestment plan as described in this prospectus supplement;</w:t>
      </w:r>
    </w:p>
    <w:p>
      <w:pPr>
        <w:spacing w:after="0" w:line="80" w:lineRule="exact"/>
        <w:rPr>
          <w:rFonts w:ascii="Times New Roman" w:cs="Times New Roman" w:eastAsia="Times New Roman" w:hAnsi="Times New Roman"/>
          <w:sz w:val="18"/>
          <w:szCs w:val="18"/>
          <w:color w:val="auto"/>
        </w:rPr>
      </w:pPr>
    </w:p>
    <w:p>
      <w:pPr>
        <w:ind w:left="2080" w:right="539" w:hanging="460"/>
        <w:spacing w:after="0" w:line="266" w:lineRule="auto"/>
        <w:tabs>
          <w:tab w:leader="none" w:pos="2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us of a registration statement on Form S-8 or any successor form thereto with respect to the registration of securities to be offered under any of our employee benefit or equity incentive plans as described in this prospectus supplement; or</w:t>
      </w:r>
    </w:p>
    <w:p>
      <w:pPr>
        <w:spacing w:after="0" w:line="94" w:lineRule="exact"/>
        <w:rPr>
          <w:rFonts w:ascii="Times New Roman" w:cs="Times New Roman" w:eastAsia="Times New Roman" w:hAnsi="Times New Roman"/>
          <w:sz w:val="18"/>
          <w:szCs w:val="18"/>
          <w:color w:val="auto"/>
        </w:rPr>
      </w:pPr>
    </w:p>
    <w:p>
      <w:pPr>
        <w:ind w:left="2080" w:right="479" w:hanging="460"/>
        <w:spacing w:after="0" w:line="254" w:lineRule="auto"/>
        <w:tabs>
          <w:tab w:leader="none" w:pos="2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Series A common stock or other securities issued in connection with a transaction that includes a commercial relationship (including strategic alliances, commercial lending relationships, joint ventures and strategic acquisitions), provided that (i) the aggregate number of shares issued pursuant to this clause (vi) (on an as-converted or as-exercised basis, as the case may be) shall not exceed five percent (5%) of the total number of outstanding shares of Series A common stock immediately following the issuance and sale of the shares of Series A common stock hereunder and (ii) the recipient of any such shares of Series A common stock or securities issued pursuant to this clause (vi) during such period shall enter into a lock-up agreement with the underwriters.</w:t>
      </w:r>
    </w:p>
    <w:p>
      <w:pPr>
        <w:spacing w:after="0" w:line="340"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restrictions described above do not apply, subject in certain cases to various conditions, to our officers, directors and certain of our stockholders with respect to certain transactions, including:</w:t>
      </w:r>
    </w:p>
    <w:p>
      <w:pPr>
        <w:spacing w:after="0" w:line="81" w:lineRule="exact"/>
        <w:rPr>
          <w:sz w:val="20"/>
          <w:szCs w:val="20"/>
          <w:color w:val="auto"/>
        </w:rPr>
      </w:pPr>
    </w:p>
    <w:p>
      <w:pPr>
        <w:ind w:left="2080" w:right="1039" w:hanging="460"/>
        <w:spacing w:after="0" w:line="282" w:lineRule="auto"/>
        <w:tabs>
          <w:tab w:leader="none" w:pos="2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one or more bona fide gifts or charitable contributions, or for bona fide estate planning purposes;</w:t>
      </w:r>
    </w:p>
    <w:p>
      <w:pPr>
        <w:spacing w:after="0" w:line="80"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death by will, testamentary document or intestate succession;</w:t>
      </w:r>
    </w:p>
    <w:p>
      <w:pPr>
        <w:spacing w:after="0" w:line="144" w:lineRule="exact"/>
        <w:rPr>
          <w:rFonts w:ascii="Times New Roman" w:cs="Times New Roman" w:eastAsia="Times New Roman" w:hAnsi="Times New Roman"/>
          <w:sz w:val="18"/>
          <w:szCs w:val="18"/>
          <w:color w:val="auto"/>
        </w:rPr>
      </w:pPr>
    </w:p>
    <w:p>
      <w:pPr>
        <w:ind w:left="2080" w:right="499" w:hanging="460"/>
        <w:spacing w:after="0" w:line="261" w:lineRule="auto"/>
        <w:tabs>
          <w:tab w:leader="none" w:pos="2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securityholder is a natural person, to any member of the securityholder’s immediate family or to any trust for the direct or indirect benefit of the securityholder or the immediate family of the securityholder or, if the securityholder is a trust, to a trustor or beneficiary of the trust or the estate of a beneficiary of such trust;</w:t>
      </w:r>
    </w:p>
    <w:p>
      <w:pPr>
        <w:spacing w:after="0" w:line="98"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corporation, partnership, limited liability company or other entity of which the securityholder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80" w:right="739"/>
        <w:spacing w:after="0" w:line="297" w:lineRule="auto"/>
        <w:rPr>
          <w:sz w:val="20"/>
          <w:szCs w:val="20"/>
          <w:color w:val="auto"/>
        </w:rPr>
      </w:pPr>
      <w:r>
        <w:rPr>
          <w:rFonts w:ascii="Times New Roman" w:cs="Times New Roman" w:eastAsia="Times New Roman" w:hAnsi="Times New Roman"/>
          <w:sz w:val="18"/>
          <w:szCs w:val="18"/>
          <w:color w:val="auto"/>
        </w:rPr>
        <w:t>and the immediate family of the securityholder are the legal and beneficial owner of all of the outstanding equity securities or similar interests;</w:t>
      </w:r>
    </w:p>
    <w:p>
      <w:pPr>
        <w:spacing w:after="0" w:line="109" w:lineRule="exact"/>
        <w:rPr>
          <w:sz w:val="20"/>
          <w:szCs w:val="20"/>
          <w:color w:val="auto"/>
        </w:rPr>
      </w:pPr>
    </w:p>
    <w:p>
      <w:pPr>
        <w:ind w:left="2080" w:right="999" w:hanging="460"/>
        <w:spacing w:after="0" w:line="282" w:lineRule="auto"/>
        <w:tabs>
          <w:tab w:leader="none" w:pos="2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 (iv) above;</w:t>
      </w:r>
    </w:p>
    <w:p>
      <w:pPr>
        <w:spacing w:after="0" w:line="107" w:lineRule="exact"/>
        <w:rPr>
          <w:rFonts w:ascii="Times New Roman" w:cs="Times New Roman" w:eastAsia="Times New Roman" w:hAnsi="Times New Roman"/>
          <w:sz w:val="18"/>
          <w:szCs w:val="18"/>
          <w:color w:val="auto"/>
        </w:rPr>
      </w:pPr>
    </w:p>
    <w:p>
      <w:pPr>
        <w:ind w:left="2080" w:right="419" w:hanging="460"/>
        <w:spacing w:after="0" w:line="255" w:lineRule="auto"/>
        <w:tabs>
          <w:tab w:leader="none" w:pos="2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securityholder is a corporation, partnership, limited liability company or other business entity, (A) to another corporation, partnership, limited liability company or other business entity that is an affiliate (as defined in Rule 405 under the Securities Act) of the securityholder, or to any investment fund or other entity which fund or entity is controlled or managed by the securityholder or affiliates of the securityholder, or (B) as part of a distribution by the securityholder to its stockholders, partners, members or other equityholders or to the estate of any such stockholders, partners, members or other equityholders;</w:t>
      </w:r>
    </w:p>
    <w:p>
      <w:pPr>
        <w:spacing w:after="0" w:line="134" w:lineRule="exact"/>
        <w:rPr>
          <w:rFonts w:ascii="Times New Roman" w:cs="Times New Roman" w:eastAsia="Times New Roman" w:hAnsi="Times New Roman"/>
          <w:sz w:val="18"/>
          <w:szCs w:val="18"/>
          <w:color w:val="auto"/>
        </w:rPr>
      </w:pPr>
    </w:p>
    <w:p>
      <w:pPr>
        <w:ind w:left="2080" w:right="639" w:hanging="460"/>
        <w:spacing w:after="0" w:line="282" w:lineRule="auto"/>
        <w:tabs>
          <w:tab w:leader="none" w:pos="2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w:t>
      </w:r>
    </w:p>
    <w:p>
      <w:pPr>
        <w:spacing w:after="0" w:line="121" w:lineRule="exact"/>
        <w:rPr>
          <w:rFonts w:ascii="Times New Roman" w:cs="Times New Roman" w:eastAsia="Times New Roman" w:hAnsi="Times New Roman"/>
          <w:sz w:val="18"/>
          <w:szCs w:val="18"/>
          <w:color w:val="auto"/>
        </w:rPr>
      </w:pPr>
    </w:p>
    <w:p>
      <w:pPr>
        <w:ind w:left="2080" w:right="699" w:hanging="460"/>
        <w:spacing w:after="0" w:line="282" w:lineRule="auto"/>
        <w:tabs>
          <w:tab w:leader="none" w:pos="2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from our employee upon death, disability or termination of employment, in each case, of such employee;</w:t>
      </w:r>
    </w:p>
    <w:p>
      <w:pPr>
        <w:spacing w:after="0" w:line="107" w:lineRule="exact"/>
        <w:rPr>
          <w:rFonts w:ascii="Times New Roman" w:cs="Times New Roman" w:eastAsia="Times New Roman" w:hAnsi="Times New Roman"/>
          <w:sz w:val="18"/>
          <w:szCs w:val="18"/>
          <w:color w:val="auto"/>
        </w:rPr>
      </w:pPr>
    </w:p>
    <w:p>
      <w:pPr>
        <w:ind w:left="2080" w:right="419" w:hanging="460"/>
        <w:spacing w:after="0" w:line="266" w:lineRule="auto"/>
        <w:tabs>
          <w:tab w:leader="none" w:pos="2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securityholder is not our officer or director, in connection with a sale of the securityholder’s shares of Series A common stock acquired (A) from the underwriters in this offering or (B) in open market transactions after the closing date of this offering;</w:t>
      </w:r>
    </w:p>
    <w:p>
      <w:pPr>
        <w:spacing w:after="0" w:line="121" w:lineRule="exact"/>
        <w:rPr>
          <w:rFonts w:ascii="Times New Roman" w:cs="Times New Roman" w:eastAsia="Times New Roman" w:hAnsi="Times New Roman"/>
          <w:sz w:val="18"/>
          <w:szCs w:val="18"/>
          <w:color w:val="auto"/>
        </w:rPr>
      </w:pPr>
    </w:p>
    <w:p>
      <w:pPr>
        <w:ind w:left="2080" w:right="459" w:hanging="460"/>
        <w:spacing w:after="0" w:line="254" w:lineRule="auto"/>
        <w:tabs>
          <w:tab w:leader="none" w:pos="2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in connection with the vesting, settlement or exercise of restricted stock units, options, warrants or other rights to purchase shares of Series A common stock (including, in each case, by way of “net” or “cashless” exercise), including any transfer to us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this prospectus supplement, provided that any securities received upon such vesting, settlement, exercise or conversion shall be subject to the terms of a lock-up agreement;</w:t>
      </w:r>
    </w:p>
    <w:p>
      <w:pPr>
        <w:spacing w:after="0" w:line="134" w:lineRule="exact"/>
        <w:rPr>
          <w:rFonts w:ascii="Times New Roman" w:cs="Times New Roman" w:eastAsia="Times New Roman" w:hAnsi="Times New Roman"/>
          <w:sz w:val="18"/>
          <w:szCs w:val="18"/>
          <w:color w:val="auto"/>
        </w:rPr>
      </w:pPr>
    </w:p>
    <w:p>
      <w:pPr>
        <w:ind w:left="2080" w:right="539" w:hanging="460"/>
        <w:spacing w:after="0" w:line="282" w:lineRule="auto"/>
        <w:tabs>
          <w:tab w:leader="none" w:pos="2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with the prior written consent of Leerink Partners LLC and TD Securities (USA) LLC on behalf of the underwriters;</w:t>
      </w:r>
    </w:p>
    <w:p>
      <w:pPr>
        <w:spacing w:after="0" w:line="121" w:lineRule="exact"/>
        <w:rPr>
          <w:rFonts w:ascii="Times New Roman" w:cs="Times New Roman" w:eastAsia="Times New Roman" w:hAnsi="Times New Roman"/>
          <w:sz w:val="18"/>
          <w:szCs w:val="18"/>
          <w:color w:val="auto"/>
        </w:rPr>
      </w:pPr>
    </w:p>
    <w:p>
      <w:pPr>
        <w:ind w:left="2080" w:right="419" w:hanging="460"/>
        <w:spacing w:after="0" w:line="256" w:lineRule="auto"/>
        <w:tabs>
          <w:tab w:leader="none" w:pos="2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us pursuant to an agreement under which we have the option to repurchase shares or a right of first refusal with respect to transfer of such shares, provided that no filing under the Exchange Act or other public filing, report or announcement shall be voluntarily made, and if any such filing, report or announcement shall be legally required during the restricted period, such filing, report or announcement shall clearly indicate in the footnotes thereto the circumstances of such transfer or distribution;</w:t>
      </w:r>
    </w:p>
    <w:p>
      <w:pPr>
        <w:spacing w:after="0" w:line="133" w:lineRule="exact"/>
        <w:rPr>
          <w:rFonts w:ascii="Times New Roman" w:cs="Times New Roman" w:eastAsia="Times New Roman" w:hAnsi="Times New Roman"/>
          <w:sz w:val="18"/>
          <w:szCs w:val="18"/>
          <w:color w:val="auto"/>
        </w:rPr>
      </w:pPr>
    </w:p>
    <w:p>
      <w:pPr>
        <w:ind w:left="2080" w:right="459" w:hanging="460"/>
        <w:spacing w:after="0" w:line="256" w:lineRule="auto"/>
        <w:tabs>
          <w:tab w:leader="none" w:pos="2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written plan meeting the requirements of Rule 10b5-1 under the Exchange Act relating to the transfer, sale or other disposition of the securityholder’s securities, if then permitted by us, provided that none of the securities subject to such plan may be transferred, sold or otherwise disposed of until after the expiration of the restricted period and no public announcement, report or filing under the Exchange Act, or any other public filing, report or announcement, shall be required or shall be voluntarily made regarding the establishment of such plan during the restricted period;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80" w:right="439" w:hanging="460"/>
        <w:spacing w:after="0" w:line="254" w:lineRule="auto"/>
        <w:tabs>
          <w:tab w:leader="none" w:pos="2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 bona fide third-party tender offer, merger, consolidation or other similar transaction that is approved by our board of directors and made to all holders of our capital stock involving a Change of Control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our outstanding voting securities (or the surviving entity)); provided that in the event that such tender offer, merger, consolidation or other similar transaction is not completed, the securityholder’s securities shall remain subject to the provisions of the lock-up agreement;</w:t>
      </w:r>
    </w:p>
    <w:p>
      <w:pPr>
        <w:spacing w:after="0" w:line="121" w:lineRule="exact"/>
        <w:rPr>
          <w:sz w:val="20"/>
          <w:szCs w:val="20"/>
          <w:color w:val="auto"/>
        </w:rPr>
      </w:pPr>
    </w:p>
    <w:p>
      <w:pPr>
        <w:ind w:left="1260" w:right="699"/>
        <w:spacing w:after="0" w:line="253" w:lineRule="auto"/>
        <w:rPr>
          <w:sz w:val="20"/>
          <w:szCs w:val="20"/>
          <w:color w:val="auto"/>
        </w:rPr>
      </w:pPr>
      <w:r>
        <w:rPr>
          <w:rFonts w:ascii="Times New Roman" w:cs="Times New Roman" w:eastAsia="Times New Roman" w:hAnsi="Times New Roman"/>
          <w:sz w:val="18"/>
          <w:szCs w:val="18"/>
          <w:color w:val="auto"/>
        </w:rPr>
        <w:t>provided that (A) in the case of clauses (i), (ii), (iii), (iv), (v) and (vi) above, such transfer or distribution shall not involve a disposition for value, (B) in the case of clauses (i), (ii), (iii), (iv), (v), (vi) and</w:t>
      </w:r>
    </w:p>
    <w:p>
      <w:pPr>
        <w:ind w:left="1260" w:right="439"/>
        <w:spacing w:after="0"/>
        <w:tabs>
          <w:tab w:leader="none" w:pos="1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it shall be a condition to the transfer or distribution that the donee, devisee, transferee or distributee, as the case may be, shall sign and deliver a lock up agreement, (C) in the case of clauses (i), (ii), (iii), (iv), (v) and (vi) above, no filing by any party (including, without limitation, any donor, donee, devisee, transferor, transferee, distributor or distributee) under the Exchange Act, or other public filing, report or announcement reporting a reduction in beneficial ownership of the securityholder’s holdings shall be required or shall be voluntarily made in connection with such transfer or distribution, and (D) in the case of clauses (vii), (viii), (ix) and (x) above, no filing under the Exchange Act or other public filing, report or announcement shall be voluntarily made, and if any such filing, report or announcement shall be legally required during the restricted period, such filing, report or announcement shall clearly indicate in the footnotes thereto (A) the circumstances of such transfer or distribution and (B) in the case of a transfer or distribution pursuant to clause (vii) above, that the donee, devisee, transferee or distributee has agreed to be bound by a lock-up agreement.</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“SGMT.”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10"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Stabilizing transactions consist of various bids for or purchases of shares of Series A common stock made by the underwriters in the open market prior to the closing of this offering.</w:t>
      </w:r>
    </w:p>
    <w:p>
      <w:pPr>
        <w:spacing w:after="0" w:line="120" w:lineRule="exact"/>
        <w:rPr>
          <w:sz w:val="20"/>
          <w:szCs w:val="20"/>
          <w:color w:val="auto"/>
        </w:rPr>
      </w:pPr>
    </w:p>
    <w:p>
      <w:pPr>
        <w:ind w:left="1260" w:right="639" w:firstLine="360"/>
        <w:spacing w:after="0" w:line="263"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319"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16"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62" w:lineRule="exact"/>
        <w:rPr>
          <w:sz w:val="20"/>
          <w:szCs w:val="20"/>
          <w:color w:val="auto"/>
        </w:rPr>
      </w:pPr>
    </w:p>
    <w:p>
      <w:pPr>
        <w:ind w:left="1260" w:right="1079" w:firstLine="360"/>
        <w:spacing w:after="0" w:line="297" w:lineRule="auto"/>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 For example, Leerink Partners LLC also served as underwriter in our prior offerings of our Series A common stock and is a sales agent under our “at-the-market” offering program.</w:t>
      </w:r>
    </w:p>
    <w:p>
      <w:pPr>
        <w:spacing w:after="0" w:line="109"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this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the securities may be offered to the public in that Relevant State at any time:</w:t>
      </w:r>
    </w:p>
    <w:p>
      <w:pPr>
        <w:spacing w:after="0" w:line="136" w:lineRule="exact"/>
        <w:rPr>
          <w:sz w:val="20"/>
          <w:szCs w:val="20"/>
          <w:color w:val="auto"/>
        </w:rPr>
      </w:pPr>
    </w:p>
    <w:p>
      <w:pPr>
        <w:ind w:left="1980" w:hanging="360"/>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Article 2 of the Prospectus Regulation;</w:t>
      </w:r>
    </w:p>
    <w:p>
      <w:pPr>
        <w:spacing w:after="0" w:line="171" w:lineRule="exact"/>
        <w:rPr>
          <w:rFonts w:ascii="Times New Roman" w:cs="Times New Roman" w:eastAsia="Times New Roman" w:hAnsi="Times New Roman"/>
          <w:sz w:val="18"/>
          <w:szCs w:val="18"/>
          <w:color w:val="auto"/>
        </w:rPr>
      </w:pPr>
    </w:p>
    <w:p>
      <w:pPr>
        <w:ind w:left="1980" w:right="419" w:hanging="360"/>
        <w:spacing w:after="0" w:line="266"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2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6" w:lineRule="exact"/>
        <w:rPr>
          <w:sz w:val="20"/>
          <w:szCs w:val="20"/>
          <w:color w:val="auto"/>
        </w:rPr>
      </w:pPr>
    </w:p>
    <w:p>
      <w:pPr>
        <w:ind w:left="1260" w:right="719"/>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securities shall require us or any of the representatives to publish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pursuant to Article 3 of the Prospectus Regulation or supplement a prospectus pursuant to Article 23 of the Prospectus Regulation or publish an Annex IX document pursuant to Article 1(4) of the Prospectus Regulation.</w:t>
      </w:r>
    </w:p>
    <w:p>
      <w:pPr>
        <w:spacing w:after="0" w:line="103" w:lineRule="exact"/>
        <w:rPr>
          <w:sz w:val="20"/>
          <w:szCs w:val="20"/>
          <w:color w:val="auto"/>
        </w:rPr>
      </w:pPr>
    </w:p>
    <w:p>
      <w:pPr>
        <w:ind w:left="1260" w:right="439" w:firstLine="360"/>
        <w:spacing w:after="0" w:line="272"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p>
    <w:p>
      <w:pPr>
        <w:spacing w:after="0" w:line="200" w:lineRule="exact"/>
        <w:rPr>
          <w:sz w:val="20"/>
          <w:szCs w:val="20"/>
          <w:color w:val="auto"/>
        </w:rPr>
      </w:pPr>
    </w:p>
    <w:p>
      <w:pPr>
        <w:spacing w:after="0" w:line="3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this offering to the public in the United Kingdom except that the securities may be offered to the public in the United Kingdom at any time:</w:t>
      </w:r>
    </w:p>
    <w:p>
      <w:pPr>
        <w:spacing w:after="0" w:line="95" w:lineRule="exact"/>
        <w:rPr>
          <w:sz w:val="20"/>
          <w:szCs w:val="20"/>
          <w:color w:val="auto"/>
        </w:rPr>
      </w:pPr>
    </w:p>
    <w:p>
      <w:pPr>
        <w:ind w:left="1980" w:right="559" w:hanging="360"/>
        <w:spacing w:after="0" w:line="258"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 the offer is conditional on the admission of the shares to trading on the London Stock Exchange plc’s main market (in reliance on the exception in paragraph 6(a) of Schedule 1 of the POATR) or (ii) the shares being offered are at the time of the offer already admitted to trading on London Stock Exchange plc’s main market (in reliance on the exception in paragraph 6(b) of Schedule 1 of the POATR);</w:t>
      </w:r>
    </w:p>
    <w:p>
      <w:pPr>
        <w:spacing w:after="0" w:line="10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in paragraph 15 of Schedule 1 of the POATR;</w:t>
      </w:r>
    </w:p>
    <w:p>
      <w:pPr>
        <w:spacing w:after="0" w:line="144" w:lineRule="exact"/>
        <w:rPr>
          <w:rFonts w:ascii="Times New Roman" w:cs="Times New Roman" w:eastAsia="Times New Roman" w:hAnsi="Times New Roman"/>
          <w:sz w:val="18"/>
          <w:szCs w:val="18"/>
          <w:color w:val="auto"/>
        </w:rPr>
      </w:pPr>
    </w:p>
    <w:p>
      <w:pPr>
        <w:jc w:val="both"/>
        <w:ind w:left="1980" w:right="49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persons (other than qualified investors as defined in paragraph 15 of Schedule 1 of the POATR), subject to obtaining the prior consent of the representatives for any such offer; or</w:t>
      </w:r>
    </w:p>
    <w:p>
      <w:pPr>
        <w:spacing w:after="0" w:line="94" w:lineRule="exact"/>
        <w:rPr>
          <w:rFonts w:ascii="Times New Roman" w:cs="Times New Roman" w:eastAsia="Times New Roman" w:hAnsi="Times New Roman"/>
          <w:sz w:val="18"/>
          <w:szCs w:val="18"/>
          <w:color w:val="auto"/>
        </w:rPr>
      </w:pPr>
    </w:p>
    <w:p>
      <w:pPr>
        <w:ind w:left="1980" w:right="69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of the POATR to any legal entity which is a qualified investor as defined under Article 2 of the UK Prospectus Regulation.</w:t>
      </w:r>
    </w:p>
    <w:p>
      <w:pPr>
        <w:spacing w:after="0" w:line="81"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the United Kingdom means the communication to any person which presents sufficient information on:</w:t>
      </w:r>
    </w:p>
    <w:p>
      <w:pPr>
        <w:ind w:left="1260" w:right="699"/>
        <w:spacing w:after="0" w:line="246" w:lineRule="auto"/>
        <w:tabs>
          <w:tab w:leader="none" w:pos="15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to be offered; and (b) the terms on which they are to be offered, to enable an investor to decide to buy or subscribe for the securities and the expression “POATR” means the Public Offers and Admissions to Trading Regulations 2024.</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w:t>
      </w:r>
    </w:p>
    <w:p>
      <w:pPr>
        <w:spacing w:after="0" w:line="1" w:lineRule="exact"/>
        <w:rPr>
          <w:sz w:val="20"/>
          <w:szCs w:val="20"/>
          <w:color w:val="auto"/>
        </w:rPr>
      </w:pPr>
    </w:p>
    <w:p>
      <w:pPr>
        <w:ind w:left="1260" w:right="499"/>
        <w:spacing w:after="0" w:line="242" w:lineRule="auto"/>
        <w:rPr>
          <w:sz w:val="20"/>
          <w:szCs w:val="20"/>
          <w:color w:val="auto"/>
        </w:rPr>
      </w:pPr>
      <w:r>
        <w:rPr>
          <w:rFonts w:ascii="Times New Roman" w:cs="Times New Roman" w:eastAsia="Times New Roman" w:hAnsi="Times New Roman"/>
          <w:sz w:val="18"/>
          <w:szCs w:val="18"/>
          <w:color w:val="auto"/>
        </w:rPr>
        <w:t>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17" w:lineRule="exact"/>
        <w:rPr>
          <w:sz w:val="20"/>
          <w:szCs w:val="20"/>
          <w:color w:val="auto"/>
        </w:rPr>
      </w:pPr>
    </w:p>
    <w:p>
      <w:pPr>
        <w:ind w:left="1260" w:right="839" w:firstLine="360"/>
        <w:spacing w:after="0" w:line="247"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2" w:lineRule="exact"/>
        <w:rPr>
          <w:sz w:val="20"/>
          <w:szCs w:val="20"/>
          <w:color w:val="auto"/>
        </w:rPr>
      </w:pPr>
    </w:p>
    <w:p>
      <w:pPr>
        <w:ind w:left="1260" w:right="979" w:firstLine="360"/>
        <w:spacing w:after="0" w:line="258"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(the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19"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w:t>
      </w: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1" w:lineRule="auto"/>
        <w:rPr>
          <w:sz w:val="20"/>
          <w:szCs w:val="20"/>
          <w:color w:val="auto"/>
        </w:rPr>
      </w:pPr>
      <w:r>
        <w:rPr>
          <w:rFonts w:ascii="Times New Roman" w:cs="Times New Roman" w:eastAsia="Times New Roman" w:hAnsi="Times New Roman"/>
          <w:sz w:val="18"/>
          <w:szCs w:val="18"/>
          <w:color w:val="auto"/>
        </w:rPr>
        <w:t>Financial Market Supervisory Authority FINMA, and the offer of shares has not been and will not be authorized under the Swiss Federal Act on Collective Investment Schemes (the “CIS”). The investor protection afforded to acquirers of interests in collective investment schemes under the CIS does not extend to acquirers of shares.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This document relates to an Exempt Offer in accordance with the Markets Rules 2012 of the Dubai Financial Services Authority(the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1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Arab Emirates</w:t>
      </w:r>
    </w:p>
    <w:p>
      <w:pPr>
        <w:spacing w:after="0" w:line="162"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shares have not been, and are not being, publicly offered, sold, promoted or advertised in the United Arab Emirates (including the Dubai International Financial Centre) other than in compliance with the laws of the</w:t>
      </w:r>
    </w:p>
    <w:p>
      <w:pPr>
        <w:spacing w:after="0" w:line="10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or the Dubai Financial Services Authority.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prospectus supplement:</w:t>
      </w:r>
    </w:p>
    <w:p>
      <w:pPr>
        <w:spacing w:after="0" w:line="117" w:lineRule="exact"/>
        <w:rPr>
          <w:sz w:val="20"/>
          <w:szCs w:val="20"/>
          <w:color w:val="auto"/>
        </w:rPr>
      </w:pPr>
    </w:p>
    <w:p>
      <w:pPr>
        <w:ind w:left="1800" w:right="67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(Cth)(the “Corporations Act”);</w:t>
      </w:r>
    </w:p>
    <w:p>
      <w:pPr>
        <w:spacing w:after="0" w:line="40" w:lineRule="exact"/>
        <w:rPr>
          <w:rFonts w:ascii="Times New Roman" w:cs="Times New Roman" w:eastAsia="Times New Roman" w:hAnsi="Times New Roman"/>
          <w:sz w:val="18"/>
          <w:szCs w:val="18"/>
          <w:color w:val="auto"/>
        </w:rPr>
      </w:pPr>
    </w:p>
    <w:p>
      <w:pPr>
        <w:ind w:left="1800" w:right="739" w:hanging="180"/>
        <w:spacing w:after="0" w:line="261"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(the “ASIC”), as a disclosure document for the purposes of the Corporations Act and does not purport to include the information required of a disclosure document for the purposes of the Corporations Act; and</w:t>
      </w:r>
    </w:p>
    <w:p>
      <w:pPr>
        <w:spacing w:after="0" w:line="71"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(the “Exempt Investors”).</w:t>
      </w:r>
    </w:p>
    <w:p>
      <w:pPr>
        <w:spacing w:after="0" w:line="10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securities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p>
    <w:p>
      <w:pPr>
        <w:spacing w:after="0" w:line="114"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As any offer of securities under this prospectus supplement will be made without disclosure in Australia under Chapter 6D.2 of the Corporations Act, the offer of those securities for resale in Australia within 12 months may, under section 707 of the Corporations Act, require disclosure to investors under</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70" w:lineRule="auto"/>
        <w:rPr>
          <w:sz w:val="20"/>
          <w:szCs w:val="20"/>
          <w:color w:val="auto"/>
        </w:rPr>
      </w:pPr>
      <w:r>
        <w:rPr>
          <w:rFonts w:ascii="Times New Roman" w:cs="Times New Roman" w:eastAsia="Times New Roman" w:hAnsi="Times New Roman"/>
          <w:sz w:val="18"/>
          <w:szCs w:val="18"/>
          <w:color w:val="auto"/>
        </w:rPr>
        <w:t>Chapter 6D.2 if none of the exemptions in section 708 applies to that resale. By applying for the securities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4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securities have not been and will not be registered pursuant to Article 4, Paragraph 1 of the Financial Instruments and Exchange Act. Accordingly, none of the securities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48"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securities have not been offered or sold and will not be offered or sold in Hong Kong, by means of any document, other than (a) to “professional investors” as defined in the Securities and Futures Ordinance (Cap. 571 of the Laws of Hong Kong)(the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securities has been or will be issued or has been or will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securities which are or are intended to be disposed of only to persons outside Hong Kong or only to “professional investors” as defined in the SFO and any rules made thereunder.</w:t>
      </w:r>
    </w:p>
    <w:p>
      <w:pPr>
        <w:spacing w:after="0" w:line="200" w:lineRule="exact"/>
        <w:rPr>
          <w:sz w:val="20"/>
          <w:szCs w:val="20"/>
          <w:color w:val="auto"/>
        </w:rPr>
      </w:pP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62"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Each underwriter has acknowledged that this prospectus supplement has not been registered as a prospectus with the Monetary Authority of Singapore. Accordingly, each underwriter has represented and agreed that it has not offered or sold any securities or caused the securities to be made the subject of an invitation for subscription or purchase and will not offer or sell any securities or cause the securities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securities, whether directly or indirectly, to any person in Singapore other than:</w:t>
      </w:r>
    </w:p>
    <w:p>
      <w:pPr>
        <w:spacing w:after="0" w:line="364" w:lineRule="exact"/>
        <w:rPr>
          <w:sz w:val="20"/>
          <w:szCs w:val="20"/>
          <w:color w:val="auto"/>
        </w:rPr>
      </w:pPr>
    </w:p>
    <w:p>
      <w:pPr>
        <w:ind w:left="2080" w:hanging="460"/>
        <w:spacing w:after="0"/>
        <w:tabs>
          <w:tab w:leader="none" w:pos="2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w:t>
      </w:r>
    </w:p>
    <w:p>
      <w:pPr>
        <w:spacing w:after="0" w:line="27" w:lineRule="exact"/>
        <w:rPr>
          <w:rFonts w:ascii="Times New Roman" w:cs="Times New Roman" w:eastAsia="Times New Roman" w:hAnsi="Times New Roman"/>
          <w:sz w:val="18"/>
          <w:szCs w:val="18"/>
          <w:color w:val="auto"/>
        </w:rPr>
      </w:pPr>
    </w:p>
    <w:p>
      <w:pPr>
        <w:ind w:left="2080" w:right="5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(Chapter 289) of Singapore, as modified or amended from time to time (the “SFA”)) pursuant to Section 274 of the SFA;</w:t>
      </w:r>
    </w:p>
    <w:p>
      <w:pPr>
        <w:spacing w:after="0" w:line="127" w:lineRule="exact"/>
        <w:rPr>
          <w:rFonts w:ascii="Times New Roman" w:cs="Times New Roman" w:eastAsia="Times New Roman" w:hAnsi="Times New Roman"/>
          <w:sz w:val="18"/>
          <w:szCs w:val="18"/>
          <w:color w:val="auto"/>
        </w:rPr>
      </w:pPr>
    </w:p>
    <w:p>
      <w:pPr>
        <w:ind w:left="2080" w:right="619" w:hanging="460"/>
        <w:spacing w:after="0" w:line="266" w:lineRule="auto"/>
        <w:tabs>
          <w:tab w:leader="none" w:pos="2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35" w:lineRule="exact"/>
        <w:rPr>
          <w:rFonts w:ascii="Times New Roman" w:cs="Times New Roman" w:eastAsia="Times New Roman" w:hAnsi="Times New Roman"/>
          <w:sz w:val="18"/>
          <w:szCs w:val="18"/>
          <w:color w:val="auto"/>
        </w:rPr>
      </w:pPr>
    </w:p>
    <w:p>
      <w:pPr>
        <w:ind w:left="2080" w:right="439" w:hanging="460"/>
        <w:spacing w:after="0" w:line="282" w:lineRule="auto"/>
        <w:tabs>
          <w:tab w:leader="none" w:pos="2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94" w:lineRule="exact"/>
        <w:rPr>
          <w:sz w:val="20"/>
          <w:szCs w:val="20"/>
          <w:color w:val="auto"/>
        </w:rPr>
      </w:pPr>
    </w:p>
    <w:p>
      <w:pPr>
        <w:jc w:val="both"/>
        <w:ind w:left="2080" w:right="479" w:hanging="460"/>
        <w:spacing w:after="0" w:line="266" w:lineRule="auto"/>
        <w:tabs>
          <w:tab w:leader="none" w:pos="2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8" w:lineRule="exact"/>
        <w:rPr>
          <w:rFonts w:ascii="Times New Roman" w:cs="Times New Roman" w:eastAsia="Times New Roman" w:hAnsi="Times New Roman"/>
          <w:sz w:val="18"/>
          <w:szCs w:val="18"/>
          <w:color w:val="auto"/>
        </w:rPr>
      </w:pPr>
    </w:p>
    <w:p>
      <w:pPr>
        <w:ind w:left="2080" w:right="479" w:hanging="460"/>
        <w:spacing w:after="0" w:line="282" w:lineRule="auto"/>
        <w:tabs>
          <w:tab w:leader="none" w:pos="2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94" w:lineRule="exact"/>
        <w:rPr>
          <w:sz w:val="20"/>
          <w:szCs w:val="20"/>
          <w:color w:val="auto"/>
        </w:rPr>
      </w:pPr>
    </w:p>
    <w:p>
      <w:pPr>
        <w:ind w:left="1260" w:right="539"/>
        <w:spacing w:after="0" w:line="261"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12" w:lineRule="exact"/>
        <w:rPr>
          <w:sz w:val="20"/>
          <w:szCs w:val="20"/>
          <w:color w:val="auto"/>
        </w:rPr>
      </w:pPr>
    </w:p>
    <w:p>
      <w:pPr>
        <w:ind w:left="2080" w:right="499" w:hanging="460"/>
        <w:spacing w:after="0" w:line="282" w:lineRule="auto"/>
        <w:tabs>
          <w:tab w:leader="none" w:pos="2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94"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44"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57"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57" w:lineRule="exact"/>
        <w:rPr>
          <w:rFonts w:ascii="Times New Roman" w:cs="Times New Roman" w:eastAsia="Times New Roman" w:hAnsi="Times New Roman"/>
          <w:sz w:val="18"/>
          <w:szCs w:val="18"/>
          <w:color w:val="auto"/>
        </w:rPr>
      </w:pPr>
    </w:p>
    <w:p>
      <w:pPr>
        <w:ind w:left="2080" w:right="599" w:hanging="460"/>
        <w:spacing w:after="0" w:line="282" w:lineRule="auto"/>
        <w:tabs>
          <w:tab w:leader="none" w:pos="2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Bermuda</w:t>
      </w:r>
    </w:p>
    <w:p>
      <w:pPr>
        <w:spacing w:after="0" w:line="16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Saudi Arabia</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This document may not be distributed in the Kingdom of Saudi Arabia except to such persons as are permitted under the Offers of Securities Regulations as issued by the board of the Saudi Arabian Capital Market Authority (the “CMA”) pursuant to resolution number 2-11-2004 dated 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British Virgin Islands</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(the “BVI Companies”) but only where the offer will be made to, and received by, the relevant BVI Company entirely outside of the British Virgin Islands.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China</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This prospectus supplement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prospectus supplement nor any advertisement or other offering material may be distributed or published in the PRC, except under circumstances that will result in compliance with applicable laws and regulations.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Korea</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have not been listed on any of the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Malaysia</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No prospectus or other offering material or document in connection with the offer and sale of the shares has been or will be registered with the Securities Commission of Malaysia (the “Commission”), for the Commission’s approval pursuant to the Capital Markets and Services Act 2007.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w:t>
      </w:r>
    </w:p>
    <w:p>
      <w:pPr>
        <w:spacing w:after="0" w:line="11" w:lineRule="exact"/>
        <w:rPr>
          <w:sz w:val="20"/>
          <w:szCs w:val="20"/>
          <w:color w:val="auto"/>
        </w:rPr>
      </w:pPr>
    </w:p>
    <w:p>
      <w:pPr>
        <w:ind w:left="1700" w:hanging="440"/>
        <w:spacing w:after="0"/>
        <w:tabs>
          <w:tab w:leader="none" w:pos="1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with total net assets exceeding RM10 million (or its equivalent in foreign currencies);</w:t>
      </w:r>
    </w:p>
    <w:p>
      <w:pPr>
        <w:spacing w:after="0" w:line="9" w:lineRule="exact"/>
        <w:rPr>
          <w:rFonts w:ascii="Times New Roman" w:cs="Times New Roman" w:eastAsia="Times New Roman" w:hAnsi="Times New Roman"/>
          <w:sz w:val="18"/>
          <w:szCs w:val="18"/>
          <w:color w:val="auto"/>
        </w:rPr>
      </w:pPr>
    </w:p>
    <w:p>
      <w:pPr>
        <w:ind w:left="1260" w:right="459"/>
        <w:spacing w:after="0" w:line="251" w:lineRule="auto"/>
        <w:tabs>
          <w:tab w:leader="none" w:pos="158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License who carries on the business of dealing in securities. The distribution in Malaysia of this prospectus supplement is subject to Malaysian laws. This prospectus supplement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14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South Africa</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96(1)(a)</w:t>
            </w:r>
          </w:p>
        </w:tc>
        <w:tc>
          <w:tcPr>
            <w:tcW w:w="6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 the offer, transfer, sale, renunciation or delivery is to:</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1"/>
                <w:szCs w:val="21"/>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(i)</w:t>
            </w:r>
          </w:p>
        </w:tc>
        <w:tc>
          <w:tcPr>
            <w:tcW w:w="5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persons whose ordinary business, or part of whose ordinary business, is to</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9"/>
        </w:trPr>
        <w:tc>
          <w:tcPr>
            <w:tcW w:w="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9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deal in securities, as principal or agent;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1"/>
                <w:szCs w:val="21"/>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(ii)</w:t>
            </w:r>
          </w:p>
        </w:tc>
        <w:tc>
          <w:tcPr>
            <w:tcW w:w="5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(ii) the South African Public Investment Corporation;</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8"/>
                <w:szCs w:val="8"/>
                <w:color w:val="auto"/>
              </w:rPr>
            </w:pP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vMerge w:val="continue"/>
          </w:tcPr>
          <w:p>
            <w:pPr>
              <w:spacing w:after="0"/>
              <w:rPr>
                <w:sz w:val="8"/>
                <w:szCs w:val="8"/>
                <w:color w:val="auto"/>
              </w:rPr>
            </w:pPr>
          </w:p>
        </w:tc>
        <w:tc>
          <w:tcPr>
            <w:tcW w:w="5900" w:type="dxa"/>
            <w:vAlign w:val="bottom"/>
            <w:vMerge w:val="continue"/>
          </w:tcPr>
          <w:p>
            <w:pPr>
              <w:spacing w:after="0"/>
              <w:rPr>
                <w:sz w:val="8"/>
                <w:szCs w:val="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(iii)</w:t>
            </w:r>
          </w:p>
        </w:tc>
        <w:tc>
          <w:tcPr>
            <w:tcW w:w="5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persons or entities regulated by the Reserve Bank of South Africa;</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8"/>
                <w:szCs w:val="8"/>
                <w:color w:val="auto"/>
              </w:rPr>
            </w:pP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vMerge w:val="continue"/>
          </w:tcPr>
          <w:p>
            <w:pPr>
              <w:spacing w:after="0"/>
              <w:rPr>
                <w:sz w:val="8"/>
                <w:szCs w:val="8"/>
                <w:color w:val="auto"/>
              </w:rPr>
            </w:pPr>
          </w:p>
        </w:tc>
        <w:tc>
          <w:tcPr>
            <w:tcW w:w="5900" w:type="dxa"/>
            <w:vAlign w:val="bottom"/>
            <w:vMerge w:val="continue"/>
          </w:tcPr>
          <w:p>
            <w:pPr>
              <w:spacing w:after="0"/>
              <w:rPr>
                <w:sz w:val="8"/>
                <w:szCs w:val="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(iv)</w:t>
            </w:r>
          </w:p>
        </w:tc>
        <w:tc>
          <w:tcPr>
            <w:tcW w:w="5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authorised financial service providers under South African law;</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8"/>
                <w:szCs w:val="8"/>
                <w:color w:val="auto"/>
              </w:rPr>
            </w:pP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vMerge w:val="continue"/>
          </w:tcPr>
          <w:p>
            <w:pPr>
              <w:spacing w:after="0"/>
              <w:rPr>
                <w:sz w:val="8"/>
                <w:szCs w:val="8"/>
                <w:color w:val="auto"/>
              </w:rPr>
            </w:pPr>
          </w:p>
        </w:tc>
        <w:tc>
          <w:tcPr>
            <w:tcW w:w="5900" w:type="dxa"/>
            <w:vAlign w:val="bottom"/>
            <w:vMerge w:val="continue"/>
          </w:tcPr>
          <w:p>
            <w:pPr>
              <w:spacing w:after="0"/>
              <w:rPr>
                <w:sz w:val="8"/>
                <w:szCs w:val="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(v)</w:t>
            </w:r>
          </w:p>
        </w:tc>
        <w:tc>
          <w:tcPr>
            <w:tcW w:w="5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financial institutions recognised as such under South African law;</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59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920" w:type="dxa"/>
            <w:vAlign w:val="bottom"/>
            <w:gridSpan w:val="2"/>
          </w:tcPr>
          <w:p>
            <w:pPr>
              <w:ind w:left="140"/>
              <w:spacing w:after="0" w:line="291" w:lineRule="exact"/>
              <w:rPr>
                <w:sz w:val="20"/>
                <w:szCs w:val="20"/>
                <w:color w:val="auto"/>
              </w:rPr>
            </w:pPr>
            <w:r>
              <w:rPr>
                <w:rFonts w:ascii="Times New Roman" w:cs="Times New Roman" w:eastAsia="Times New Roman" w:hAnsi="Times New Roman"/>
                <w:sz w:val="33"/>
                <w:szCs w:val="33"/>
                <w:color w:val="auto"/>
                <w:vertAlign w:val="superscript"/>
              </w:rPr>
              <w:t>​ ​</w:t>
            </w:r>
            <w:r>
              <w:rPr>
                <w:rFonts w:ascii="Times New Roman" w:cs="Times New Roman" w:eastAsia="Times New Roman" w:hAnsi="Times New Roman"/>
                <w:sz w:val="17"/>
                <w:szCs w:val="17"/>
                <w:color w:val="auto"/>
              </w:rPr>
              <w:t xml:space="preserve">   (vi)</w:t>
            </w:r>
          </w:p>
        </w:tc>
        <w:tc>
          <w:tcPr>
            <w:tcW w:w="5960" w:type="dxa"/>
            <w:vAlign w:val="bottom"/>
            <w:gridSpan w:val="2"/>
          </w:tcPr>
          <w:p>
            <w:pPr>
              <w:ind w:left="60"/>
              <w:spacing w:after="0" w:line="291" w:lineRule="exact"/>
              <w:rPr>
                <w:sz w:val="20"/>
                <w:szCs w:val="20"/>
                <w:color w:val="auto"/>
              </w:rPr>
            </w:pPr>
            <w:r>
              <w:rPr>
                <w:rFonts w:ascii="Times New Roman" w:cs="Times New Roman" w:eastAsia="Times New Roman" w:hAnsi="Times New Roman"/>
                <w:sz w:val="17"/>
                <w:szCs w:val="17"/>
                <w:color w:val="auto"/>
              </w:rPr>
              <w:t>a wholly-owned subsidiary of any person or entity contemplated in (c), (d) or</w:t>
            </w:r>
            <w:r>
              <w:rPr>
                <w:rFonts w:ascii="Times New Roman" w:cs="Times New Roman" w:eastAsia="Times New Roman" w:hAnsi="Times New Roman"/>
                <w:sz w:val="33"/>
                <w:szCs w:val="33"/>
                <w:color w:val="auto"/>
                <w:vertAlign w:val="superscript"/>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 acting as agent in the capacity of an authorized portfolio manager for 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pension fund, or as manager for a collective investment scheme (in each case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duly registered as such under South African law); or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1"/>
                <w:szCs w:val="21"/>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(vii)</w:t>
            </w:r>
          </w:p>
        </w:tc>
        <w:tc>
          <w:tcPr>
            <w:tcW w:w="5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any combination of the person in (i) to (vi); 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59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6"/>
                <w:szCs w:val="16"/>
                <w:color w:val="auto"/>
              </w:rPr>
            </w:pPr>
          </w:p>
        </w:tc>
        <w:tc>
          <w:tcPr>
            <w:tcW w:w="3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6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the total contemplated acquisition cost of the securities, for any single addressee</w:t>
            </w:r>
          </w:p>
        </w:tc>
        <w:tc>
          <w:tcPr>
            <w:tcW w:w="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3"/>
        </w:trPr>
        <w:tc>
          <w:tcPr>
            <w:tcW w:w="13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Section 96(1)(b)</w:t>
            </w:r>
          </w:p>
        </w:tc>
        <w:tc>
          <w:tcPr>
            <w:tcW w:w="320" w:type="dxa"/>
            <w:vAlign w:val="bottom"/>
          </w:tcPr>
          <w:p>
            <w:pPr>
              <w:spacing w:after="0"/>
              <w:rPr>
                <w:sz w:val="10"/>
                <w:szCs w:val="10"/>
                <w:color w:val="auto"/>
              </w:rPr>
            </w:pPr>
          </w:p>
        </w:tc>
        <w:tc>
          <w:tcPr>
            <w:tcW w:w="65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2980" w:right="619"/>
        <w:spacing w:after="0" w:line="254" w:lineRule="auto"/>
        <w:rPr>
          <w:sz w:val="20"/>
          <w:szCs w:val="20"/>
          <w:color w:val="auto"/>
        </w:rPr>
      </w:pPr>
      <w:r>
        <w:rPr>
          <w:rFonts w:ascii="Times New Roman" w:cs="Times New Roman" w:eastAsia="Times New Roman" w:hAnsi="Times New Roman"/>
          <w:sz w:val="18"/>
          <w:szCs w:val="18"/>
          <w:color w:val="auto"/>
        </w:rPr>
        <w:t>acting as principal is equal to or greater than ZAR1,000,000 or such higher amount as may be promulgated by notice in the Government Gazette of South Africa pursuant to section 96(2)(a) of the South African Companies Act.</w:t>
      </w:r>
    </w:p>
    <w:p>
      <w:pPr>
        <w:spacing w:after="0" w:line="173"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Information made available in this prospectus supplement should not be considered as “advice” as defined in the South African Financial Advisory and Intermediary Services Act, 2002.</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Israel</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In the State of Israel this prospectus supplement shall not be regarded as an offer to the public to purchase securities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us to publish a prospectus in accordance with and subject to the Israeli Securities Law, 5728 — 1968. We have not and will not distribute this prospectus supplement or make, distribute or direct an offer to subscribe for our securities to any person within the State of Israel, other than to Qualified Investors and up to 35 Addressed Investors. Qualified Investors may have to submit written evidence that they meet the definitions set out in of the First Addendum to the Israeli Securities Law, 5728 — 1968. In particular, we may request, as a condition to be offered securities,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Investors is applicable to it; (iii) that it will abide by all provisions set forth in the Israeli Securities Law, 5728 — 1968 and the regulations promulgated thereunder in connection with the offer to be issued securities; (iv) that the securities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340"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 Accordingly, no purchaser of the shares, other than the underwriters, is authorized to make any further offer of shares on our behalf or on behalf of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issuance of the shares of our Series A common stock offered in this prospectus supplement will be passed upon for us by Goodwin Procter LLP, Philadelphia, Pennsylvania. Cooley LLP, San Francisco, California, is representing the underwriters in this offering.</w:t>
      </w:r>
    </w:p>
    <w:p>
      <w:pPr>
        <w:spacing w:after="0" w:line="17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19" w:firstLine="360"/>
        <w:spacing w:after="0" w:line="25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statements of Sagimet Biosciences Inc. as of December 31, 2025, incorporated by reference in this prospectus supplement by reference to Sagimet Biosciences Inc.’s annual report on </w:t>
      </w:r>
      <w:hyperlink r:id="rId71">
        <w:r>
          <w:rPr>
            <w:rFonts w:ascii="Times New Roman" w:cs="Times New Roman" w:eastAsia="Times New Roman" w:hAnsi="Times New Roman"/>
            <w:sz w:val="18"/>
            <w:szCs w:val="18"/>
            <w:u w:val="single" w:color="auto"/>
            <w:color w:val="0000EE"/>
          </w:rPr>
          <w:t>Form 10-K for the year ended December 31,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have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been audited by KPMG, LLP, an independent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registered public accounting firm, as stated in their report. Also as stated in their report, KPMG audited the adjustments to the 2024 financial statements to retrospectively adopt ASU 2023-09 as described in Note 2.</w:t>
      </w:r>
    </w:p>
    <w:p>
      <w:pPr>
        <w:spacing w:after="0" w:line="10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financial statements of Sagimet Biosciences Inc. for the year ended December 31, 2024 (before the effects of the retrospective adjustments discussed in Note 2 to the financial statements) (not separately presented herein) have been audited by Deloitte &amp; Touche LLP, an independent registered public accounting firm, as stated in their report incorporated by reference in the Prospectus Supplement.</w:t>
      </w:r>
    </w:p>
    <w:p>
      <w:pPr>
        <w:spacing w:after="0" w:line="112"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Such financial statements are incorporated by reference in reliance upon the respective reports of KPMG, LLP and Deloitte &amp; Touche LLP given their authority as experts in accounting and auditing.</w:t>
      </w:r>
    </w:p>
    <w:p>
      <w:pPr>
        <w:spacing w:after="0" w:line="15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form part of a registration statement on Form S-3 filed with the SEC under the Securities Act. This prospectus supplement and the accompanying prospectus do not contain all the information set forth in the registration statement and the exhibits to the registration statement or the documents incorporated by reference herein and therein. For further information with respect to us and the securities that we are offering under this prospectus supplement and accompanying prospectus, we refer you to the registration statement and the exhibits and schedules filed as a part of the registration statement and the documents incorporated by reference herein and therein.</w:t>
      </w:r>
    </w:p>
    <w:p>
      <w:pPr>
        <w:spacing w:after="0" w:line="108"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We are currently subject to the reporting requirements of the Exchange Act, and in accordance therewith file periodic reports, proxy statements and other information with the SEC. Our SEC filings are available to you on the SEC’s website at www.sec.gov and in the “Investors &amp; Media” section of our website at www.ir.sagimet.com. Our website and the information contained on that site, or connected to that site, are not incorporated into and are not a part of this prospectus supplement or the accompanying prospectus.</w:t>
      </w:r>
    </w:p>
    <w:p>
      <w:pPr>
        <w:spacing w:after="0" w:line="40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filed with the SEC. The SEC allows us to “incorporate by reference” into this prospectus supplement and the accompanying prospectus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statement of which this prospectus supplement is a part the information or documents listed below that we have filed with the SEC:</w:t>
      </w:r>
    </w:p>
    <w:p>
      <w:pPr>
        <w:spacing w:after="0" w:line="86" w:lineRule="exact"/>
        <w:rPr>
          <w:sz w:val="20"/>
          <w:szCs w:val="20"/>
          <w:color w:val="auto"/>
        </w:rPr>
      </w:pPr>
    </w:p>
    <w:p>
      <w:pPr>
        <w:ind w:left="1800" w:right="879" w:hanging="180"/>
        <w:spacing w:after="0" w:line="282" w:lineRule="auto"/>
        <w:tabs>
          <w:tab w:leader="none" w:pos="1800" w:val="left"/>
        </w:tabs>
        <w:numPr>
          <w:ilvl w:val="0"/>
          <w:numId w:val="31"/>
        </w:numPr>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u w:val="single" w:color="auto"/>
            <w:color w:val="0000EE"/>
          </w:rPr>
          <w:t>Annual Report on Form 10-K for the year ended December 31, 2025 filed with the SEC on</w:t>
        </w:r>
      </w:hyperlink>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u w:val="single" w:color="auto"/>
            <w:color w:val="0000EE"/>
          </w:rPr>
          <w:t>March 11, 2026</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jc w:val="both"/>
        <w:ind w:left="1800" w:right="459" w:hanging="180"/>
        <w:spacing w:after="0" w:line="266" w:lineRule="auto"/>
        <w:tabs>
          <w:tab w:leader="none" w:pos="1800" w:val="left"/>
        </w:tabs>
        <w:numPr>
          <w:ilvl w:val="0"/>
          <w:numId w:val="31"/>
        </w:numPr>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auto"/>
          </w:rPr>
          <w:t xml:space="preserve">The information specifically incorporated by reference into our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u w:val="single" w:color="auto"/>
            <w:color w:val="0000EE"/>
          </w:rPr>
          <w:t>year ended December 31,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from our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Definitive Proxy Statement on Schedule 14A, filed with the</w:t>
        </w:r>
      </w:hyperlink>
      <w:r>
        <w:rPr>
          <w:rFonts w:ascii="Times New Roman" w:cs="Times New Roman" w:eastAsia="Times New Roman" w:hAnsi="Times New Roman"/>
          <w:sz w:val="18"/>
          <w:szCs w:val="18"/>
          <w:color w:val="0000EE"/>
        </w:rPr>
        <w:t xml:space="preserve"> </w:t>
      </w:r>
      <w:hyperlink r:id="rId72">
        <w:r>
          <w:rPr>
            <w:rFonts w:ascii="Times New Roman" w:cs="Times New Roman" w:eastAsia="Times New Roman" w:hAnsi="Times New Roman"/>
            <w:sz w:val="18"/>
            <w:szCs w:val="18"/>
            <w:u w:val="single" w:color="auto"/>
            <w:color w:val="0000EE"/>
          </w:rPr>
          <w:t>SEC on April 21, 2026</w:t>
        </w:r>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EE"/>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73">
        <w:r>
          <w:rPr>
            <w:rFonts w:ascii="Times New Roman" w:cs="Times New Roman" w:eastAsia="Times New Roman" w:hAnsi="Times New Roman"/>
            <w:sz w:val="18"/>
            <w:szCs w:val="18"/>
            <w:u w:val="single" w:color="auto"/>
            <w:color w:val="0000EE"/>
          </w:rPr>
          <w:t>April 21,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4">
        <w:r>
          <w:rPr>
            <w:rFonts w:ascii="Times New Roman" w:cs="Times New Roman" w:eastAsia="Times New Roman" w:hAnsi="Times New Roman"/>
            <w:sz w:val="18"/>
            <w:szCs w:val="18"/>
            <w:u w:val="single" w:color="auto"/>
            <w:color w:val="0000EE"/>
          </w:rPr>
          <w:t>April 27, 2026</w:t>
        </w:r>
      </w:hyperlink>
      <w:r>
        <w:rPr>
          <w:rFonts w:ascii="Times New Roman" w:cs="Times New Roman" w:eastAsia="Times New Roman" w:hAnsi="Times New Roman"/>
          <w:sz w:val="18"/>
          <w:szCs w:val="18"/>
          <w:color w:val="auto"/>
        </w:rPr>
        <w:t>; and</w:t>
      </w:r>
    </w:p>
    <w:p>
      <w:pPr>
        <w:sectPr>
          <w:pgSz w:w="11900" w:h="16838" w:orient="portrait"/>
          <w:cols w:equalWidth="0" w:num="1">
            <w:col w:w="9879"/>
          </w:cols>
          <w:pgMar w:left="580" w:top="97" w:right="1440"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5160"/>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61" w:lineRule="auto"/>
        <w:tabs>
          <w:tab w:leader="none" w:pos="1800" w:val="left"/>
        </w:tabs>
        <w:numPr>
          <w:ilvl w:val="0"/>
          <w:numId w:val="32"/>
        </w:numPr>
        <w:rPr>
          <w:rFonts w:ascii="Times New Roman" w:cs="Times New Roman" w:eastAsia="Times New Roman" w:hAnsi="Times New Roman"/>
          <w:sz w:val="18"/>
          <w:szCs w:val="18"/>
          <w:color w:val="000000"/>
        </w:rPr>
      </w:pPr>
      <w:hyperlink r:id="rId76">
        <w:r>
          <w:rPr>
            <w:rFonts w:ascii="Times New Roman" w:cs="Times New Roman" w:eastAsia="Times New Roman" w:hAnsi="Times New Roman"/>
            <w:sz w:val="18"/>
            <w:szCs w:val="18"/>
            <w:color w:val="auto"/>
          </w:rPr>
          <w:t xml:space="preserve">The description of our Series A common stock contained in our registration statement on </w:t>
        </w:r>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u w:val="single" w:color="auto"/>
            <w:color w:val="0000EE"/>
          </w:rPr>
          <w:t>(File No. 001-41742) filed with the SEC on July 11, 2023</w:t>
        </w:r>
        <w:r>
          <w:rPr>
            <w:rFonts w:ascii="Times New Roman" w:cs="Times New Roman" w:eastAsia="Times New Roman" w:hAnsi="Times New Roman"/>
            <w:sz w:val="18"/>
            <w:szCs w:val="18"/>
            <w:color w:val="000000"/>
          </w:rPr>
          <w:t>, under the Exchange Act, including any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amendment or report filed for the purpose of updating such description, including </w:t>
      </w:r>
      <w:hyperlink r:id="rId77">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to our Annual Report on Form 10-K for the year ended December 31, 2023.</w:t>
      </w:r>
    </w:p>
    <w:p>
      <w:pPr>
        <w:spacing w:after="0" w:line="112" w:lineRule="exact"/>
        <w:rPr>
          <w:rFonts w:ascii="Times New Roman" w:cs="Times New Roman" w:eastAsia="Times New Roman" w:hAnsi="Times New Roman"/>
          <w:sz w:val="18"/>
          <w:szCs w:val="18"/>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addition, all documents that we file with the SEC pursuant to Sections 13(a), 13(c), 14 or 15(d) of the Exchange Act after the date of this prospectus supplement and before the termination of the offering of our securities shall be deemed incorporated by reference into this prospectus supplement and accompanying prospectus and to be a part of this prospectus supplement and the accompanying prospectus from the respective dates of filing such documents. We are not, however, incorporating by reference any documents or portions thereof, whether specifically listed above or filed in the future, that are not deemed “filed” with the SEC, including any information furnished pursuant to items 2.02 or 7.01 of Form 8-K or related exhibits furnished pursuant to Item 9.01 of Form 8-K.</w:t>
      </w:r>
    </w:p>
    <w:p>
      <w:pPr>
        <w:spacing w:after="0" w:line="124" w:lineRule="exact"/>
        <w:rPr>
          <w:rFonts w:ascii="Times New Roman" w:cs="Times New Roman" w:eastAsia="Times New Roman" w:hAnsi="Times New Roman"/>
          <w:sz w:val="18"/>
          <w:szCs w:val="18"/>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in this prospectus supplement and the accompanying prospectus shall be deemed to be modified or superseded for purposes of this prospectus supplement and the accompanying prospectus to the extent that a statement contained in this prospectus supplement or in any other subsequently filed document that also is or is deemed to be incorporated by reference in this prospectus supplement modifies or supersedes such statement. Any statement so modified or superseded shall not be deemed, except as so modified or superseded, to constitute a part of this prospectus supplement or the accompanying prospectus.</w:t>
      </w:r>
    </w:p>
    <w:p>
      <w:pPr>
        <w:spacing w:after="0" w:line="108" w:lineRule="exact"/>
        <w:rPr>
          <w:rFonts w:ascii="Times New Roman" w:cs="Times New Roman" w:eastAsia="Times New Roman" w:hAnsi="Times New Roman"/>
          <w:sz w:val="18"/>
          <w:szCs w:val="18"/>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You may obtain copies of any of these filings by contacting us at the address and telephone number indicated below. Documents incorporated by reference are available from us without charge, excluding all exhibits unless an exhibit has been specifically incorporated by reference into this prospectus supplement, by requesting them in writing or by telephone at:</w:t>
      </w:r>
    </w:p>
    <w:p>
      <w:pPr>
        <w:spacing w:after="0" w:line="112"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Sagimet Biosciences Inc.</w:t>
      </w:r>
    </w:p>
    <w:p>
      <w:pPr>
        <w:spacing w:after="0" w:line="27"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155 Bovet Road, Suite 303</w:t>
      </w:r>
    </w:p>
    <w:p>
      <w:pPr>
        <w:spacing w:after="0" w:line="9"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San Mateo, California 94402</w:t>
      </w:r>
    </w:p>
    <w:p>
      <w:pPr>
        <w:spacing w:after="0" w:line="9"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(650)561-8600</w:t>
      </w:r>
    </w:p>
    <w:p>
      <w:pPr>
        <w:spacing w:after="0" w:line="9" w:lineRule="exact"/>
        <w:rPr>
          <w:rFonts w:ascii="Times New Roman" w:cs="Times New Roman" w:eastAsia="Times New Roman" w:hAnsi="Times New Roman"/>
          <w:sz w:val="18"/>
          <w:szCs w:val="18"/>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2" w:lineRule="exact"/>
        <w:rPr>
          <w:rFonts w:ascii="Times New Roman" w:cs="Times New Roman" w:eastAsia="Times New Roman" w:hAnsi="Times New Roman"/>
          <w:sz w:val="18"/>
          <w:szCs w:val="18"/>
          <w:color w:val="auto"/>
        </w:rPr>
      </w:pPr>
    </w:p>
    <w:p>
      <w:pPr>
        <w:ind w:left="5160"/>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1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5"/>
          <w:szCs w:val="25"/>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127000</wp:posOffset>
            </wp:positionV>
            <wp:extent cx="2905760" cy="1036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290576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Series A Common Stock</w:t>
      </w:r>
    </w:p>
    <w:p>
      <w:pPr>
        <w:spacing w:after="0" w:line="3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6"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Debt Securities</w:t>
      </w:r>
    </w:p>
    <w:p>
      <w:pPr>
        <w:jc w:val="center"/>
        <w:ind w:right="-780"/>
        <w:spacing w:after="0" w:line="236" w:lineRule="auto"/>
        <w:rPr>
          <w:sz w:val="20"/>
          <w:szCs w:val="20"/>
          <w:color w:val="auto"/>
        </w:rPr>
      </w:pPr>
      <w:r>
        <w:rPr>
          <w:rFonts w:ascii="Times New Roman" w:cs="Times New Roman" w:eastAsia="Times New Roman" w:hAnsi="Times New Roman"/>
          <w:sz w:val="25"/>
          <w:szCs w:val="25"/>
          <w:b w:val="1"/>
          <w:bCs w:val="1"/>
          <w:color w:val="auto"/>
        </w:rPr>
        <w:t>Warrants</w:t>
      </w:r>
    </w:p>
    <w:p>
      <w:pPr>
        <w:spacing w:after="0" w:line="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122555</wp:posOffset>
            </wp:positionV>
            <wp:extent cx="12344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5"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We may offer and sell up to $300,000,000 in the aggregate of the securities identified above from time to time in one or more offerings. This prospectus provides you with a general description of the securities.</w:t>
      </w:r>
    </w:p>
    <w:p>
      <w:pPr>
        <w:spacing w:after="0" w:line="94"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Each time we offer and sell securities, we will provide a supplement to this prospectus that contains specific information about the offering and the amounts, prices and terms of the securities. The prospectus supplement may also add, update or change information contained in this prospectus with respect to that offering. You should carefully read this prospectus and the applicable prospectus supplement before you invest in any of our securities.</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07" w:lineRule="exact"/>
        <w:rPr>
          <w:sz w:val="20"/>
          <w:szCs w:val="20"/>
          <w:color w:val="auto"/>
        </w:rPr>
      </w:pPr>
    </w:p>
    <w:p>
      <w:pPr>
        <w:jc w:val="both"/>
        <w:ind w:left="1260" w:right="4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We are an emerging growth company and a smaller reporting company as defined under federal securities laws and, as such, may elect to comply with certain reduced public company reporting requirements for future filings.</w:t>
      </w:r>
    </w:p>
    <w:p>
      <w:pPr>
        <w:spacing w:after="0" w:line="103" w:lineRule="exact"/>
        <w:rPr>
          <w:sz w:val="20"/>
          <w:szCs w:val="20"/>
          <w:color w:val="auto"/>
        </w:r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THE “RISK FACTORS” ON PAGE </w:t>
      </w:r>
      <w:r>
        <w:rPr>
          <w:rFonts w:ascii="Times New Roman" w:cs="Times New Roman" w:eastAsia="Times New Roman" w:hAnsi="Times New Roman"/>
          <w:sz w:val="18"/>
          <w:szCs w:val="18"/>
          <w:b w:val="1"/>
          <w:bCs w:val="1"/>
          <w:u w:val="single" w:color="auto"/>
          <w:color w:val="0000EE"/>
        </w:rPr>
        <w:t>9</w:t>
      </w:r>
      <w:r>
        <w:rPr>
          <w:rFonts w:ascii="Times New Roman" w:cs="Times New Roman" w:eastAsia="Times New Roman" w:hAnsi="Times New Roman"/>
          <w:sz w:val="18"/>
          <w:szCs w:val="18"/>
          <w:b w:val="1"/>
          <w:bCs w:val="1"/>
          <w:color w:val="auto"/>
        </w:rPr>
        <w:t xml:space="preserve"> OF THIS PROSPECTUS AND ANY SIMILAR SECTION CONTAINED IN THE APPLICABLE PROSPECTUS SUPPLEMENT CONCERNING FACTORS YOU SHOULD CONSIDER BEFORE INVESTING IN OUR SECURITIES.</w:t>
      </w:r>
    </w:p>
    <w:p>
      <w:pPr>
        <w:spacing w:after="0" w:line="113"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Our Series A common stock is listed on the Nasdaq Global Market under the symbol “SGMT.” On August 14, 2024, the last reported sale price of our Series A common stock on the Nasdaq Global Market was $2.47 per share.</w:t>
      </w:r>
    </w:p>
    <w:p>
      <w:pPr>
        <w:spacing w:after="0" w:line="91" w:lineRule="exact"/>
        <w:rPr>
          <w:sz w:val="20"/>
          <w:szCs w:val="20"/>
          <w:color w:val="auto"/>
        </w:rPr>
      </w:pPr>
    </w:p>
    <w:p>
      <w:pPr>
        <w:ind w:left="1260" w:right="4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7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255905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INCORPORATION OF CERTAIN INFORMATION BY REFERENCE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THE COMPANY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DEBT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UNITS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OUR 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GLOBAL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200" w:space="720"/>
            <w:col w:w="95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a “shelf” registration process. By using a shelf registration statement, we may, from time to time, offer and sell, either individually or in combination, in one or more offerings, up to a total dollar amount of $300,000,000 of any combination of the securities described in this prospectus.</w:t>
      </w:r>
    </w:p>
    <w:p>
      <w:pPr>
        <w:spacing w:after="0" w:line="112"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This prospectus provides you only with a general description of the securities that we may offer.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or incorporated by reference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w:t>
      </w:r>
    </w:p>
    <w:p>
      <w:pPr>
        <w:spacing w:after="0" w:line="32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or incorporated by reference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24"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it is accompanied by a prospectus supplement.</w:t>
      </w:r>
    </w:p>
    <w:p>
      <w:pPr>
        <w:spacing w:after="0" w:line="94" w:lineRule="exact"/>
        <w:rPr>
          <w:sz w:val="20"/>
          <w:szCs w:val="20"/>
          <w:color w:val="auto"/>
        </w:rPr>
      </w:pPr>
    </w:p>
    <w:p>
      <w:pPr>
        <w:jc w:val="both"/>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When we refer to “Sagimet,” “Sagimet Biosciences,” “we,” “our,” “us” and the “Company” in this prospectus, we mean Sagimet Biosciences Inc. unless otherwise specified. When we refer to “you,” we mean the potential holders of the applicable series of securities.</w:t>
      </w:r>
    </w:p>
    <w:p>
      <w:pPr>
        <w:spacing w:after="0" w:line="95"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 xml:space="preserve">This prospectus contains or incorporates by reference documents that contain references to trademarks, service marks and trade names owned by us or other entities. All trademarks, service marks and trade names included or incorporated by reference into this prospectus are the property of their respective owners. Solely for convenience, trademarks, service marks and trade names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 symbols, but such references are not intended to indicate, in any way, that their respective owners will not assert, to the fullest extent under applicable law, their rights thereto.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filed with the SEC under the Securities Act of 1933, as amended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spacing w:after="0" w:line="12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are currently subject to the reporting requirements of the Securities Exchange Act of 1934, as amended (the Exchange Act), and in accordance therewith file periodic reports, proxy statements and other information with the SEC. Our SEC filings are available to you on the SEC’s website at www.sec.gov and in the “Investors” section of our website at www.sagimet.com. Our website and the information contained on that site, or connected to that site, are not incorporated into and are not a part of this prospectus.</w:t>
      </w:r>
    </w:p>
    <w:p>
      <w:pPr>
        <w:spacing w:after="0" w:line="17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297" w:lineRule="exact"/>
        <w:rPr>
          <w:sz w:val="20"/>
          <w:szCs w:val="20"/>
          <w:color w:val="auto"/>
        </w:rPr>
      </w:pPr>
    </w:p>
    <w:p>
      <w:pPr>
        <w:ind w:left="1800" w:right="879" w:hanging="180"/>
        <w:spacing w:after="0" w:line="282" w:lineRule="auto"/>
        <w:tabs>
          <w:tab w:leader="none" w:pos="1800" w:val="left"/>
        </w:tabs>
        <w:numPr>
          <w:ilvl w:val="0"/>
          <w:numId w:val="33"/>
        </w:numPr>
        <w:rPr>
          <w:rFonts w:ascii="Times New Roman" w:cs="Times New Roman" w:eastAsia="Times New Roman" w:hAnsi="Times New Roman"/>
          <w:sz w:val="18"/>
          <w:szCs w:val="18"/>
          <w:u w:val="single" w:color="auto"/>
          <w:color w:val="0000EE"/>
        </w:rPr>
      </w:pPr>
      <w:hyperlink r:id="rId92">
        <w:r>
          <w:rPr>
            <w:rFonts w:ascii="Times New Roman" w:cs="Times New Roman" w:eastAsia="Times New Roman" w:hAnsi="Times New Roman"/>
            <w:sz w:val="18"/>
            <w:szCs w:val="18"/>
            <w:u w:val="single" w:color="auto"/>
            <w:color w:val="0000EE"/>
          </w:rPr>
          <w:t>Our Annual Report on Form 10-K for the year ended December 31, 2023 filed with the SEC on</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March 25, 2024;</w:t>
        </w:r>
      </w:hyperlink>
    </w:p>
    <w:p>
      <w:pPr>
        <w:spacing w:after="0" w:line="67" w:lineRule="exact"/>
        <w:rPr>
          <w:rFonts w:ascii="Times New Roman" w:cs="Times New Roman" w:eastAsia="Times New Roman" w:hAnsi="Times New Roman"/>
          <w:sz w:val="18"/>
          <w:szCs w:val="18"/>
          <w:u w:val="single" w:color="auto"/>
          <w:color w:val="0000EE"/>
        </w:rPr>
      </w:pPr>
    </w:p>
    <w:p>
      <w:pPr>
        <w:ind w:left="1800" w:right="719" w:hanging="180"/>
        <w:spacing w:after="0" w:line="282" w:lineRule="auto"/>
        <w:tabs>
          <w:tab w:leader="none" w:pos="1800" w:val="left"/>
        </w:tabs>
        <w:numPr>
          <w:ilvl w:val="0"/>
          <w:numId w:val="33"/>
        </w:numPr>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u w:val="single" w:color="auto"/>
            <w:color w:val="0000EE"/>
          </w:rPr>
          <w:t>Our Quarterly Reports on Form 10-Q for the quarter ended March 31, 2024 filed with the SEC on</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May 15,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for the</w:t>
        </w:r>
        <w:r>
          <w:rPr>
            <w:rFonts w:ascii="Times New Roman" w:cs="Times New Roman" w:eastAsia="Times New Roman" w:hAnsi="Times New Roman"/>
            <w:sz w:val="18"/>
            <w:szCs w:val="18"/>
            <w:color w:val="0000EE"/>
          </w:rPr>
          <w:t xml:space="preserve"> </w:t>
        </w:r>
      </w:hyperlink>
      <w:hyperlink r:id="rId94">
        <w:r>
          <w:rPr>
            <w:rFonts w:ascii="Times New Roman" w:cs="Times New Roman" w:eastAsia="Times New Roman" w:hAnsi="Times New Roman"/>
            <w:sz w:val="18"/>
            <w:szCs w:val="18"/>
            <w:u w:val="single" w:color="auto"/>
            <w:color w:val="0000EE"/>
          </w:rPr>
          <w:t>quarter ended June 30, 2024 filed with the SEC on August 14, 2024</w:t>
        </w:r>
      </w:hyperlink>
      <w:hyperlink r:id="rId93">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jc w:val="both"/>
        <w:ind w:left="1800" w:right="459" w:hanging="180"/>
        <w:spacing w:after="0" w:line="266" w:lineRule="auto"/>
        <w:tabs>
          <w:tab w:leader="none" w:pos="1800" w:val="left"/>
        </w:tabs>
        <w:numPr>
          <w:ilvl w:val="0"/>
          <w:numId w:val="33"/>
        </w:numPr>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auto"/>
          </w:rPr>
          <w:t xml:space="preserve">The information specifically incorporated by reference into </w:t>
        </w:r>
        <w:r>
          <w:rPr>
            <w:rFonts w:ascii="Times New Roman" w:cs="Times New Roman" w:eastAsia="Times New Roman" w:hAnsi="Times New Roman"/>
            <w:sz w:val="18"/>
            <w:szCs w:val="18"/>
            <w:u w:val="single" w:color="auto"/>
            <w:color w:val="0000EE"/>
          </w:rPr>
          <w:t>our Annual Report on Form 10-K for the</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EE"/>
          </w:rPr>
          <w:t>year 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from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our Definitive Proxy Statement on Schedule 14A, filed with the</w:t>
        </w:r>
      </w:hyperlink>
      <w:r>
        <w:rPr>
          <w:rFonts w:ascii="Times New Roman" w:cs="Times New Roman" w:eastAsia="Times New Roman" w:hAnsi="Times New Roman"/>
          <w:sz w:val="18"/>
          <w:szCs w:val="18"/>
          <w:color w:val="0000EE"/>
        </w:rPr>
        <w:t xml:space="preserve"> </w:t>
      </w:r>
      <w:hyperlink r:id="rId95">
        <w:r>
          <w:rPr>
            <w:rFonts w:ascii="Times New Roman" w:cs="Times New Roman" w:eastAsia="Times New Roman" w:hAnsi="Times New Roman"/>
            <w:sz w:val="18"/>
            <w:szCs w:val="18"/>
            <w:u w:val="single" w:color="auto"/>
            <w:color w:val="0000EE"/>
          </w:rPr>
          <w:t>SEC on April 18, 2024</w:t>
        </w:r>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EE"/>
        </w:rPr>
      </w:pPr>
    </w:p>
    <w:p>
      <w:pPr>
        <w:ind w:left="1800" w:right="459" w:hanging="180"/>
        <w:spacing w:after="0" w:line="261" w:lineRule="auto"/>
        <w:tabs>
          <w:tab w:leader="none" w:pos="1800" w:val="left"/>
        </w:tabs>
        <w:numPr>
          <w:ilvl w:val="0"/>
          <w:numId w:val="3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96">
        <w:r>
          <w:rPr>
            <w:rFonts w:ascii="Times New Roman" w:cs="Times New Roman" w:eastAsia="Times New Roman" w:hAnsi="Times New Roman"/>
            <w:sz w:val="18"/>
            <w:szCs w:val="18"/>
            <w:u w:val="single" w:color="auto"/>
            <w:color w:val="0000EE"/>
          </w:rPr>
          <w:t>January 22, 2024</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EE"/>
          </w:rPr>
          <w:t>January 30, 2024</w:t>
        </w:r>
      </w:hyperlink>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u w:val="single" w:color="auto"/>
            <w:color w:val="0000EE"/>
          </w:rPr>
          <w:t>February 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6, 2024</w:t>
        </w:r>
        <w:r>
          <w:rPr>
            <w:rFonts w:ascii="Times New Roman" w:cs="Times New Roman" w:eastAsia="Times New Roman" w:hAnsi="Times New Roman"/>
            <w:sz w:val="18"/>
            <w:szCs w:val="18"/>
            <w:color w:val="000000"/>
          </w:rPr>
          <w:t>, as amended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13,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2,</w:t>
        </w:r>
      </w:hyperlink>
      <w:r>
        <w:rPr>
          <w:rFonts w:ascii="Times New Roman" w:cs="Times New Roman" w:eastAsia="Times New Roman" w:hAnsi="Times New Roman"/>
          <w:sz w:val="18"/>
          <w:szCs w:val="18"/>
          <w:color w:val="0000EE"/>
        </w:rPr>
        <w:t xml:space="preserve"> </w:t>
      </w:r>
      <w:hyperlink r:id="rId98">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9">
        <w:r>
          <w:rPr>
            <w:rFonts w:ascii="Times New Roman" w:cs="Times New Roman" w:eastAsia="Times New Roman" w:hAnsi="Times New Roman"/>
            <w:sz w:val="18"/>
            <w:szCs w:val="18"/>
            <w:u w:val="single" w:color="auto"/>
            <w:color w:val="0000EE"/>
          </w:rPr>
          <w:t xml:space="preserve">August 1, 2024 </w:t>
        </w:r>
      </w:hyperlink>
      <w:hyperlink r:id="rId98">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00">
        <w:r>
          <w:rPr>
            <w:rFonts w:ascii="Times New Roman" w:cs="Times New Roman" w:eastAsia="Times New Roman" w:hAnsi="Times New Roman"/>
            <w:sz w:val="18"/>
            <w:szCs w:val="18"/>
            <w:u w:val="single" w:color="auto"/>
            <w:color w:val="0000EE"/>
          </w:rPr>
          <w:t xml:space="preserve">August 14, 2024 </w:t>
        </w:r>
      </w:hyperlink>
      <w:hyperlink r:id="rId98">
        <w:r>
          <w:rPr>
            <w:rFonts w:ascii="Times New Roman" w:cs="Times New Roman" w:eastAsia="Times New Roman" w:hAnsi="Times New Roman"/>
            <w:sz w:val="18"/>
            <w:szCs w:val="18"/>
            <w:color w:val="000000"/>
          </w:rPr>
          <w:t>(in each case other than any portions thereof deemed</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furnished and not filed); and</w:t>
      </w:r>
    </w:p>
    <w:p>
      <w:pPr>
        <w:spacing w:after="0" w:line="71" w:lineRule="exact"/>
        <w:rPr>
          <w:rFonts w:ascii="Times New Roman" w:cs="Times New Roman" w:eastAsia="Times New Roman" w:hAnsi="Times New Roman"/>
          <w:sz w:val="18"/>
          <w:szCs w:val="18"/>
          <w:color w:val="0000EE"/>
        </w:rPr>
      </w:pPr>
    </w:p>
    <w:p>
      <w:pPr>
        <w:ind w:left="1800" w:right="539" w:hanging="180"/>
        <w:spacing w:after="0" w:line="261" w:lineRule="auto"/>
        <w:tabs>
          <w:tab w:leader="none" w:pos="1800" w:val="left"/>
        </w:tabs>
        <w:numPr>
          <w:ilvl w:val="0"/>
          <w:numId w:val="33"/>
        </w:numPr>
        <w:rPr>
          <w:rFonts w:ascii="Times New Roman" w:cs="Times New Roman" w:eastAsia="Times New Roman" w:hAnsi="Times New Roman"/>
          <w:sz w:val="18"/>
          <w:szCs w:val="18"/>
          <w:color w:val="000000"/>
        </w:rPr>
      </w:pPr>
      <w:hyperlink r:id="rId101">
        <w:r>
          <w:rPr>
            <w:rFonts w:ascii="Times New Roman" w:cs="Times New Roman" w:eastAsia="Times New Roman" w:hAnsi="Times New Roman"/>
            <w:sz w:val="18"/>
            <w:szCs w:val="18"/>
            <w:color w:val="auto"/>
          </w:rPr>
          <w:t xml:space="preserve">The description of our Series A common stock contained in </w:t>
        </w:r>
        <w:r>
          <w:rPr>
            <w:rFonts w:ascii="Times New Roman" w:cs="Times New Roman" w:eastAsia="Times New Roman" w:hAnsi="Times New Roman"/>
            <w:sz w:val="18"/>
            <w:szCs w:val="18"/>
            <w:u w:val="single" w:color="auto"/>
            <w:color w:val="0000EE"/>
          </w:rPr>
          <w:t>our registration statement on Form 8-A</w:t>
        </w:r>
      </w:hyperlink>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u w:val="single" w:color="auto"/>
            <w:color w:val="0000EE"/>
          </w:rPr>
          <w:t>(File No. 001-41742) filed with the SEC on July 11, 2023</w:t>
        </w:r>
        <w:r>
          <w:rPr>
            <w:rFonts w:ascii="Times New Roman" w:cs="Times New Roman" w:eastAsia="Times New Roman" w:hAnsi="Times New Roman"/>
            <w:sz w:val="18"/>
            <w:szCs w:val="18"/>
            <w:color w:val="000000"/>
          </w:rPr>
          <w:t>, under the Exchange Act, including any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amendment or report filed for the purpose of updating such description, including </w:t>
      </w:r>
      <w:hyperlink r:id="rId102">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to our Annual Report on Form 10-K for the year ended December 31, 2023.</w:t>
      </w:r>
    </w:p>
    <w:p>
      <w:pPr>
        <w:spacing w:after="0" w:line="112" w:lineRule="exact"/>
        <w:rPr>
          <w:rFonts w:ascii="Times New Roman" w:cs="Times New Roman" w:eastAsia="Times New Roman" w:hAnsi="Times New Roman"/>
          <w:sz w:val="18"/>
          <w:szCs w:val="18"/>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ectPr>
          <w:pgSz w:w="11900" w:h="16838" w:orient="portrait"/>
          <w:cols w:equalWidth="0" w:num="1">
            <w:col w:w="9879"/>
          </w:cols>
          <w:pgMar w:left="580" w:top="97" w:right="1440" w:bottom="1440" w:gutter="0" w:footer="0" w:header="0"/>
        </w:sectPr>
      </w:pPr>
    </w:p>
    <w:p>
      <w:pPr>
        <w:spacing w:after="0" w:line="363" w:lineRule="exact"/>
        <w:rPr>
          <w:rFonts w:ascii="Times New Roman" w:cs="Times New Roman" w:eastAsia="Times New Roman" w:hAnsi="Times New Roman"/>
          <w:sz w:val="18"/>
          <w:szCs w:val="18"/>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will furnish without charge to you, upon written or oral request, a copy of any or all of the documents incorporated by reference in this prospectus, including exhibits to these documents by writing or telephoning us at the following address or phone number below. You may also access this information on our website at www.sagimet.com by viewing the “Financials &amp; Filings” subsection of the “Investors” menu. No additional information is deemed to be part of or incorporated by reference into this prospectus.</w:t>
      </w:r>
    </w:p>
    <w:p>
      <w:pPr>
        <w:spacing w:after="0" w:line="116"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Sagimet Biosciences Inc.</w:t>
      </w:r>
    </w:p>
    <w:p>
      <w:pPr>
        <w:spacing w:after="0" w:line="2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155 Bovet Road, Suite 303</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San Mateo, California 94402</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(650) 561-8600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any applicable prospectus supplement and the documents incorporated by reference may contain forward-looking statements within the meaning of Section 27A of the Securities Act and Section 21E of the Exchange Act about us.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statements contain these identifying words. Forward-looking statements include, but are not limited to, statements concerning:</w:t>
      </w:r>
    </w:p>
    <w:p>
      <w:pPr>
        <w:spacing w:after="0" w:line="80"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jc w:val="both"/>
        <w:ind w:left="1800" w:right="7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cash and the sufficiency of our existing cash, cash equivalents and marketable securities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developing denifanstat or any other drug candidates we may develop, and conducting preclinical studies and clinical trials;</w:t>
      </w:r>
    </w:p>
    <w:p>
      <w:pPr>
        <w:spacing w:after="0" w:line="67" w:lineRule="exact"/>
        <w:rPr>
          <w:rFonts w:ascii="Times New Roman" w:cs="Times New Roman" w:eastAsia="Times New Roman" w:hAnsi="Times New Roman"/>
          <w:sz w:val="18"/>
          <w:szCs w:val="18"/>
          <w:color w:val="auto"/>
        </w:rPr>
      </w:pPr>
    </w:p>
    <w:p>
      <w:pPr>
        <w:ind w:left="1800" w:right="125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drug candidates into and successfully complete clinical trials within anticipated timelines, including our Phase 3 clinical trials of denifanstat;</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involved in obtaining and maintaining regulatory approval of denifanstat or any other drug candidates we may develop, and the timing or likelihood of regulatory filings and approvals, including our expectation to seek special designations or accelerated approvals for our drug candidates for various indications;</w:t>
      </w:r>
    </w:p>
    <w:p>
      <w:pPr>
        <w:spacing w:after="0" w:line="71" w:lineRule="exact"/>
        <w:rPr>
          <w:rFonts w:ascii="Times New Roman" w:cs="Times New Roman" w:eastAsia="Times New Roman" w:hAnsi="Times New Roman"/>
          <w:sz w:val="18"/>
          <w:szCs w:val="18"/>
          <w:color w:val="auto"/>
        </w:rPr>
      </w:pPr>
    </w:p>
    <w:p>
      <w:pPr>
        <w:ind w:left="1800" w:right="14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agreements with third parties in connection with the development and commercialization of denifanstat or any other future drug candidate;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number of patients in the United States who suffer from the diseases we target, including metabolic dysfunction-associated steatohepatitis (MASH), formerly known as nonalcoholic steatohepatitis (NASH), and the number of subjects that will enroll in our clinical trials;</w:t>
      </w:r>
    </w:p>
    <w:p>
      <w:pPr>
        <w:spacing w:after="0" w:line="6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Ascletis BioScience Co. Ltd. (Ascletis), and its affiliate Gannex Pharma Co., Ltd. (Gannex), and the success of their development efforts for denifanstat;</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the safety and efficacy of denifanstat and any other drug candidates we may develop, and other positive results;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denifanstat and any other drug candidates we may develop, if approved, including the geographic areas of focus and our ability to grow a sales team;</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drug candidates and therapies;</w:t>
      </w:r>
    </w:p>
    <w:p>
      <w:pPr>
        <w:spacing w:after="0" w:line="53"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denifanstat and any other drug candidates we may develop, including additional indications that we may pursue for denifanstat or other drug candidates;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1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denifanstat and any other drug candidates we may develop for clinical trials and for commercial use, if approved;</w:t>
      </w:r>
    </w:p>
    <w:p>
      <w:pPr>
        <w:spacing w:after="0" w:line="53"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denifanstat and any other drug candidates we may develop, as well as the pricing and reimbursement of denifanstat and any other drug candidates we may develop, if approved;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3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protect and enforce intellectual property protection for denifanstat and for any other future drug candidate;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anticipated benefits of any strategic transactions;</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the continued service of our key personnel and to identify, hire, and then retain additional qualified personnel and our ability to attract additional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and geopolitical turmoil on our business and operations;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JOBS Act;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cash equivalents and marketable securities; and</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and other resources, including our expected use of the proceeds from any offering under this prospectus.</w:t>
      </w:r>
    </w:p>
    <w:p>
      <w:pPr>
        <w:spacing w:after="0" w:line="94" w:lineRule="exact"/>
        <w:rPr>
          <w:sz w:val="20"/>
          <w:szCs w:val="20"/>
          <w:color w:val="auto"/>
        </w:rPr>
      </w:pPr>
    </w:p>
    <w:p>
      <w:pPr>
        <w:jc w:val="both"/>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You should read this prospectus and the documents incorporated by reference completely and with the understanding that our actual future results may be materially different from what we currently expect. Our business and operations are and will be subject to a variety of risks, uncertainties and other factors.</w:t>
      </w:r>
    </w:p>
    <w:p>
      <w:pPr>
        <w:spacing w:after="0" w:line="1"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any applicable prospectus supplement and any related free writing prospectus, and under similar headings in the other documents that are incorporated by reference into this prospectus.</w:t>
      </w:r>
    </w:p>
    <w:p>
      <w:pPr>
        <w:spacing w:after="0" w:line="335"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any accompanying prospectus supplement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required by law, we undertake no obligation to release publicly any revisions to such forward-looking statements to reflect events or circumstances after the date of this prospectus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novel therapeutics called fatty acid synthase (FASN) inhibitors that target dysfunctional metabolic pathways in diseases resulting from the overproduction of the fatty acid, palmitate. Our lead drug candidate, denifanstat, is an oral, once-daily pill and selective FASN inhibitor in development for the treatment of metabolic dysfunction-associated steatohepatitis (MASH), formerly known as nonalcoholic steatohepatitis (NASH). Denifanstat has been studied in over 740 people to date in our clinical trials, including our FASCINATE -1 and -2 clinical trials. We are currently designing pivotal Phase 3 clinical trials for denifanstat in MASH and expect to initiate our Phase 3 development program in the second half of 2024.</w:t>
      </w:r>
    </w:p>
    <w:p>
      <w:pPr>
        <w:spacing w:after="0" w:line="11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In January 2024, we announced positive topline results from the Phase 2b FASCINATE-2 clinical trial, evaluating denifanstat in biopsy-confirmed MASH patients with stage F2 or F3 fibrosis compared to placebo at week 52. The FASCINATE-2 Phase 2b clinical trial achieved statistically significant results on primary and multiple secondary endpoints at week 52 in 168 MASH patients, in the modified intention to treat (mITT) population, including:</w:t>
      </w:r>
    </w:p>
    <w:p>
      <w:pPr>
        <w:spacing w:after="0" w:line="69" w:lineRule="exact"/>
        <w:rPr>
          <w:sz w:val="20"/>
          <w:szCs w:val="20"/>
          <w:color w:val="auto"/>
        </w:rPr>
      </w:pPr>
    </w:p>
    <w:p>
      <w:pPr>
        <w:ind w:left="1800" w:right="49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endpoints of ≥2-point reduction in NAS (NAFLD Activity Score) without worsening of fibrosis (denifanstat 52% vs. placebo 20%, p=0.0003), and MASH resolution without worsening of fibrosis with ≥2-point reduction in NAS (denifanstat 36% vs. placebo 13%, p=0.0044).</w:t>
      </w:r>
    </w:p>
    <w:p>
      <w:pPr>
        <w:spacing w:after="0" w:line="54" w:lineRule="exact"/>
        <w:rPr>
          <w:rFonts w:ascii="Times New Roman" w:cs="Times New Roman" w:eastAsia="Times New Roman" w:hAnsi="Times New Roman"/>
          <w:sz w:val="18"/>
          <w:szCs w:val="18"/>
          <w:color w:val="auto"/>
        </w:rPr>
      </w:pPr>
    </w:p>
    <w:p>
      <w:pPr>
        <w:ind w:left="1800" w:right="579" w:hanging="180"/>
        <w:spacing w:after="0" w:line="25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secondary endpoints of fibrosis improvement by ≥ 1 stage with no worsening of MASH (denifanstat 41% vs. placebo 18%, p=0.0051), MASH resolution with no worsening of fibrosis (denifanstat 38% vs. placebo 16%, p=0.0021), and a greater proportion of MRI-derived proton density fat fraction (MRI-PDFF) ≥30% responders relative to placebo (denifanstat 65% vs. placebo 21%, p&lt;0.0001). MRI-PDFF responders are patients with ≥8% liver fat content at baseline who achieve a ≥30% relative reduction of liver fat at the end of treatment.</w:t>
      </w:r>
    </w:p>
    <w:p>
      <w:pPr>
        <w:spacing w:after="0" w:line="12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Denifanstat showed also statistical significance in fibrosis improvement by an independent approach of artificial intelligence (AI) digital pathology-based qFibrosis assessment. Additionally, our precision medicine approach is core to our development strategy in MASH and includes the identification of pharmacodynamic and predictive biomarkers to confirm target engagement and clinical response in patients treated with denifanstat. We held an End-of-Phase 2 meeting with the U.S. Food and Drug Administration (FDA) in May 2024 and are currently in discussions with the FDA regarding our Phase 3 development plans for denifanstat in MASH.</w:t>
      </w:r>
    </w:p>
    <w:p>
      <w:pPr>
        <w:spacing w:after="0" w:line="325"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In June 2024, we presented positive data from the FASCINATE -2 Phase 2b clinical trial of denifanstat versus placebo in biopsy-confirmed MASH patients at the European Association for the Study of the Liver (EASL) Congress. Our EASL presentation included the following 52-week intention to treat (ITT), mITT and F3 subgroup efficacy data:</w:t>
      </w:r>
    </w:p>
    <w:p>
      <w:pPr>
        <w:spacing w:after="0" w:line="69" w:lineRule="exact"/>
        <w:rPr>
          <w:sz w:val="20"/>
          <w:szCs w:val="20"/>
          <w:color w:val="auto"/>
        </w:rPr>
      </w:pPr>
    </w:p>
    <w:p>
      <w:pPr>
        <w:ind w:left="1800" w:right="559" w:hanging="180"/>
        <w:spacing w:after="0" w:line="263"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endpoint of ≥2-point reduction in NAS (NAFLD Activity Score) without worsening of fibrosis (denifanstat 38% vs. placebo 16%, p=0.0035) or MASH resolution with ≥2-point reduction in NAS without worsening of fibrosis (denifanstat 26% vs. placebo 11%, p=0.0173) in the ITT population.</w:t>
      </w:r>
    </w:p>
    <w:p>
      <w:pPr>
        <w:spacing w:after="0" w:line="291"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Secondary endpoints of fibrosis improvement by ≥ 1 stage with no worsening of MASH in the ITT (denifanstat 30% vs. placebo 14%, p=0.0199) and F3 mITT (denifanstat 49% vs. placebo 13%, p=0.0032) populations.</w:t>
      </w:r>
    </w:p>
    <w:p>
      <w:pPr>
        <w:spacing w:after="0" w:line="54"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Fibrosis improvement by ≥ 2 stages with no worsening of MASH in the mITT (denifanstat 20% vs. placebo 2%, p=0.0065) and F3 mITT (denifanstat 34% vs. placebo 4%, p=0.0065) populations.</w:t>
      </w:r>
    </w:p>
    <w:p>
      <w:pPr>
        <w:spacing w:after="0" w:line="53"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statistically significant difference in progression to cirrhosis (F4) in the mITT population (denifanstat 5% vs. placebo 11%, p=0.0386).</w:t>
      </w:r>
    </w:p>
    <w:p>
      <w:pPr>
        <w:spacing w:after="0" w:line="53" w:lineRule="exact"/>
        <w:rPr>
          <w:rFonts w:ascii="Times New Roman" w:cs="Times New Roman" w:eastAsia="Times New Roman" w:hAnsi="Times New Roman"/>
          <w:sz w:val="18"/>
          <w:szCs w:val="18"/>
          <w:color w:val="auto"/>
        </w:rPr>
      </w:pPr>
    </w:p>
    <w:p>
      <w:pPr>
        <w:ind w:left="1800" w:right="73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statistically significant difference in fibrosis improvement by ≥ 1 stage with no worsening of MASH for patients on a stable background dose of a GLP-1RA (denifanstat 42% vs. placebo 0%, p=0.034) in the mITT population.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1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statistically significant increase in beneficial polyunsaturated triglycerides at the end of 52 week of treatment (+42% denifanstat vs. -4% placebo, p&lt;0.001) in the mITT population.</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biomarker of denifanstat activity (tripalmitin) showed an early and sustained reduction in de novo lipogenesis at 4-weeks (-2.4ug/ml with denifanstat vs. -0.4ug/mL placebo, p=0.001) and 13-weeks (-2.2ug/mL with denifanstat vs. -0.1ug/mL placebo, p=0.005) in the ITT population.</w:t>
      </w:r>
    </w:p>
    <w:p>
      <w:pPr>
        <w:spacing w:after="0" w:line="108" w:lineRule="exact"/>
        <w:rPr>
          <w:sz w:val="20"/>
          <w:szCs w:val="20"/>
          <w:color w:val="auto"/>
        </w:rPr>
      </w:pPr>
    </w:p>
    <w:p>
      <w:pPr>
        <w:jc w:val="both"/>
        <w:ind w:left="1260" w:right="619" w:firstLine="360"/>
        <w:spacing w:after="0" w:line="257" w:lineRule="auto"/>
        <w:rPr>
          <w:sz w:val="20"/>
          <w:szCs w:val="20"/>
          <w:color w:val="auto"/>
        </w:rPr>
      </w:pPr>
      <w:r>
        <w:rPr>
          <w:rFonts w:ascii="Times New Roman" w:cs="Times New Roman" w:eastAsia="Times New Roman" w:hAnsi="Times New Roman"/>
          <w:sz w:val="18"/>
          <w:szCs w:val="18"/>
          <w:color w:val="auto"/>
        </w:rPr>
        <w:t>We are also evaluating the promise of FASN inhibition, beyond MASH, in additional disease areas in which dysregulation of fatty acid metabolism also plays a key role, including in acne and certain forms of cancer. Denifanstat is currently being tested in China by our license partner, Ascletis BioScience Co. Ltd.</w:t>
      </w:r>
    </w:p>
    <w:p>
      <w:pPr>
        <w:spacing w:after="0" w:line="1"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(Ascletis), a subsidiary of Ascletis Pharma Inc. (Ascletis Pharma), in a Phase 3 clinical trial for moderate to severe acne vulgaris, and a Phase 3 clinical trial in recurrent glioblastoma multiforme (GBM) in combination with bevacizumab. We expect these results to inform our development strategy in these indications. We have completed Investigational New Drug (IND)-enabling studies for a second clinical candidate FASN inhibitor, TVB-3567.</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jc w:val="center"/>
        <w:ind w:left="1700" w:right="140"/>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December 2006 under the name 3-V Biosciences, Inc., and changed our name to Sagimet Biosciences Inc. in August 2019. Our principal executive offices are located at 155 Bovet Road, Suite 303, San Mateo, California 94402, and our telephone number is (650) 561-8600.</w:t>
      </w:r>
    </w:p>
    <w:p>
      <w:pPr>
        <w:spacing w:after="0" w:line="108"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Our website address is www.sagimet.com. Information contained on, or that can be accessed through, our website is not incorporated by reference into this prospectus and the inclusion of our website address in this prospectus is only an inactive textual reference.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62"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An emerging growth company may take advantage of reduced reporting requirements that are otherwise applicable to public companies. These provisions include, but are not limited to:</w:t>
      </w:r>
    </w:p>
    <w:p>
      <w:pPr>
        <w:spacing w:after="0" w:line="68" w:lineRule="exact"/>
        <w:rPr>
          <w:sz w:val="20"/>
          <w:szCs w:val="20"/>
          <w:color w:val="auto"/>
        </w:rPr>
      </w:pPr>
    </w:p>
    <w:p>
      <w:pPr>
        <w:ind w:left="1800" w:right="55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only two years of related Management’s Discussion and Analysis of Financial Condition and Results of Operations in this prospectus.</w:t>
      </w:r>
    </w:p>
    <w:p>
      <w:pPr>
        <w:spacing w:after="0" w:line="67"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(the Sarbanes-Oxley Act).</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8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We may take advantage of these provisions until December 31, 2028, which is the last day of our fiscal year following the fifth anniversary of the date of our initial public offering (IPO). However, if certain events occur prior to the end of such five-year period, including if we become a “large accelerated filer,” which occurs when the market value of our Series A common stock and Series B common stock that is held by non-affiliates exceeds $700 million, our annual gross revenues exceed $1.235 billion or we issue more than $1.0 billion of non-convertible debt in any three-year period, we will cease to be an emerging growth company prior to the end of such five-year period. We have elected to take advantage of these reduced disclosure obligations in the registration statement of which this prospectus is a part and may elect to take advantage of other reduced reporting requirements in future filings. As a result of these elections, the information that we provide to our stockholders may be different than you might receive from other public reporting companies.</w:t>
      </w:r>
    </w:p>
    <w:p>
      <w:pPr>
        <w:spacing w:after="0" w:line="343" w:lineRule="exact"/>
        <w:rPr>
          <w:sz w:val="20"/>
          <w:szCs w:val="20"/>
          <w:color w:val="auto"/>
        </w:rPr>
      </w:pPr>
    </w:p>
    <w:p>
      <w:pPr>
        <w:ind w:left="1260" w:right="619" w:firstLine="360"/>
        <w:spacing w:after="0" w:line="263"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provision allows an emerging growth company to delay adopting new or revised accounting standards until such time as those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6" w:lineRule="auto"/>
        <w:rPr>
          <w:sz w:val="20"/>
          <w:szCs w:val="20"/>
          <w:color w:val="auto"/>
        </w:rPr>
      </w:pPr>
      <w:r>
        <w:rPr>
          <w:rFonts w:ascii="Times New Roman" w:cs="Times New Roman" w:eastAsia="Times New Roman" w:hAnsi="Times New Roman"/>
          <w:sz w:val="18"/>
          <w:szCs w:val="18"/>
          <w:color w:val="auto"/>
        </w:rPr>
        <w:t>standards would otherwise apply to private companies. We have elected to avail ourselves of this exemption and as a result, we will not be subject to the same new or revised accounting standards as other public companies that comply with the public company effective dates.</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You should carefully consider the risk factors included in our most recent Annual Report on Form 10-K and subsequent Quarterly Reports on Form 10-Q filed with the SEC, as such risk factors may be amended, supplemented or superseded from time to time by other reports we file with the SEC, including subsequent Annual Reports on Form 10-K and Quarterly Reports on Form 10-Q, and the risk factors described under the caption “Risk Factors” in any applicable prospectus supplement. See “Where You Can Find More Information” and “Incorporation of Certain Information by Reference.” 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1259" w:firstLine="3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0"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Eleventh Amended and Restated Certificate of Incorporation (our certificate of incorporation) and our second amended and restated bylaws (our bylaws), each of which has been publicly filed with the SEC. See “Where You Can Find More Information.” For a complete description, you should refer to our certificate of incorporation and our bylaws, copies of which are incorporated by reference as exhibits to the registration statement of which this prospectus is a part.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58" w:lineRule="exact"/>
        <w:rPr>
          <w:sz w:val="20"/>
          <w:szCs w:val="20"/>
          <w:color w:val="auto"/>
        </w:rPr>
      </w:pPr>
    </w:p>
    <w:p>
      <w:pPr>
        <w:ind w:left="1620"/>
        <w:spacing w:after="0"/>
        <w:tabs>
          <w:tab w:leader="none" w:pos="3560" w:val="left"/>
        </w:tabs>
        <w:rPr>
          <w:sz w:val="20"/>
          <w:szCs w:val="20"/>
          <w:color w:val="auto"/>
        </w:rPr>
      </w:pPr>
      <w:r>
        <w:rPr>
          <w:rFonts w:ascii="Times New Roman" w:cs="Times New Roman" w:eastAsia="Times New Roman" w:hAnsi="Times New Roman"/>
          <w:sz w:val="18"/>
          <w:szCs w:val="18"/>
          <w:b w:val="1"/>
          <w:bCs w:val="1"/>
          <w:i w:val="1"/>
          <w:iCs w:val="1"/>
          <w:color w:val="auto"/>
        </w:rPr>
        <w:t>Authorized Capital Stock</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Our authorized capital stock consists of (i) 500,000,000 shares of Series A</w:t>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common stock, par value $0.0001 per share, (ii) 15,000,000 shares of Series B common stock, par value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$0.0001 per share and (iii) 10,000,000 shares of undesignated preferred stock, par value $0.0001 per share.</w:t>
      </w:r>
    </w:p>
    <w:p>
      <w:pPr>
        <w:ind w:left="1260"/>
        <w:spacing w:after="0" w:line="234" w:lineRule="auto"/>
        <w:rPr>
          <w:sz w:val="20"/>
          <w:szCs w:val="20"/>
          <w:color w:val="auto"/>
        </w:rPr>
      </w:pPr>
      <w:r>
        <w:rPr>
          <w:rFonts w:ascii="Times New Roman" w:cs="Times New Roman" w:eastAsia="Times New Roman" w:hAnsi="Times New Roman"/>
          <w:sz w:val="18"/>
          <w:szCs w:val="18"/>
          <w:color w:val="auto"/>
        </w:rPr>
        <w:t>As of August 14, 2024, there were 30,674,855 shares of Series A common stock outstanding, 1,520,490</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shares of Series B common stock outstanding and no shares of preferred stock outstanding.</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A Common Stock and Series B Common Stock</w:t>
      </w:r>
    </w:p>
    <w:p>
      <w:pPr>
        <w:spacing w:after="0" w:line="144" w:lineRule="exact"/>
        <w:rPr>
          <w:sz w:val="20"/>
          <w:szCs w:val="20"/>
          <w:color w:val="auto"/>
        </w:rPr>
      </w:pPr>
    </w:p>
    <w:p>
      <w:pPr>
        <w:jc w:val="both"/>
        <w:ind w:left="1260" w:right="43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The holders of our Series A common stock are entitled to one vote per share of Series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on all matters submitted to a vote of the stockholders. Holders of our Series B common stock are not entitled to any votes per share of Series B common stock, including for the election of directors. Our Series A common stock and Series B common stock do not have cumulative voting rights.</w:t>
      </w:r>
    </w:p>
    <w:p>
      <w:pPr>
        <w:spacing w:after="0" w:line="103" w:lineRule="exact"/>
        <w:rPr>
          <w:sz w:val="20"/>
          <w:szCs w:val="20"/>
          <w:color w:val="auto"/>
        </w:rPr>
      </w:pPr>
    </w:p>
    <w:p>
      <w:pPr>
        <w:jc w:val="both"/>
        <w:ind w:left="1260" w:right="519"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Holders of our common stock are entitled to receive ratably any dividends declared by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out of funds legally available for that purpose, subject to any preferential dividend rights of any outstanding preferred stock.</w:t>
      </w:r>
    </w:p>
    <w:p>
      <w:pPr>
        <w:spacing w:after="0" w:line="97" w:lineRule="exact"/>
        <w:rPr>
          <w:sz w:val="20"/>
          <w:szCs w:val="20"/>
          <w:color w:val="auto"/>
        </w:rPr>
      </w:pPr>
    </w:p>
    <w:p>
      <w:pPr>
        <w:jc w:val="both"/>
        <w:ind w:left="1260" w:right="5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Liquidation and Dissolution</w:t>
      </w:r>
      <w:r>
        <w:rPr>
          <w:rFonts w:ascii="Times New Roman" w:cs="Times New Roman" w:eastAsia="Times New Roman" w:hAnsi="Times New Roman"/>
          <w:sz w:val="18"/>
          <w:szCs w:val="18"/>
          <w:color w:val="auto"/>
        </w:rPr>
        <w:t>. In the event of our liquidation or dissolution, the holders of our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are entitled to share ratably in all assets remaining after the payment of all debts and other liabilities and subject to the prior rights of any of our outstanding preferred stock.</w:t>
      </w:r>
    </w:p>
    <w:p>
      <w:pPr>
        <w:spacing w:after="0" w:line="104"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Other Rights</w:t>
      </w:r>
      <w:r>
        <w:rPr>
          <w:rFonts w:ascii="Times New Roman" w:cs="Times New Roman" w:eastAsia="Times New Roman" w:hAnsi="Times New Roman"/>
          <w:sz w:val="18"/>
          <w:szCs w:val="18"/>
          <w:color w:val="auto"/>
        </w:rPr>
        <w:t>. Holders of our common stock have no preemptive, subscription, redemption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conversion rights or sinking fund provisions, except that holders of our Series B common stock have the right to convert each share of our Series B common stock into one share of Series A common stock at such holder’s election, provided that as a result of such conversion, such holder would not beneficially own in excess of 4.99% of any series of our securities registered under the Exchange Act, except as expressly provided for in our certificate of incorporation. However, this ownership limitation may be increased or decreased to any other percentage designated by such holder of Series B common stock upon 61 days’ notice to us. The rights, preferences and privileges of holders of common stock are subject to and may be adversely affected by the rights of the holders of shares of any series of our preferred stock that we may designate and issue in the future.</w:t>
      </w:r>
    </w:p>
    <w:p>
      <w:pPr>
        <w:spacing w:after="0" w:line="320" w:lineRule="exact"/>
        <w:rPr>
          <w:sz w:val="20"/>
          <w:szCs w:val="20"/>
          <w:color w:val="auto"/>
        </w:rPr>
      </w:pPr>
    </w:p>
    <w:p>
      <w:pPr>
        <w:ind w:left="1260" w:right="95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Exchange Listing</w:t>
      </w:r>
      <w:r>
        <w:rPr>
          <w:rFonts w:ascii="Times New Roman" w:cs="Times New Roman" w:eastAsia="Times New Roman" w:hAnsi="Times New Roman"/>
          <w:sz w:val="18"/>
          <w:szCs w:val="18"/>
          <w:color w:val="auto"/>
        </w:rPr>
        <w:t>. Our Series A common stock is listed on The Nasdaq Global Market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symbol “SGMT.”</w:t>
      </w:r>
    </w:p>
    <w:p>
      <w:pPr>
        <w:spacing w:after="0" w:line="74"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r>
        <w:rPr>
          <w:rFonts w:ascii="Times New Roman" w:cs="Times New Roman" w:eastAsia="Times New Roman" w:hAnsi="Times New Roman"/>
          <w:sz w:val="18"/>
          <w:szCs w:val="18"/>
          <w:color w:val="auto"/>
        </w:rPr>
        <w:t>. The transfer agent and registrar for our Series A common stock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B common stock is Equiniti Trust Company, LLC. The transfer agent’s address is 6201 15th Avenue, Brooklyn, NY 11219.</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Under our certificate of incorporation, our board of directors has the authority, without further action by the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36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issuance of preferred stock with voting or conversion rights could adversely affect the voting power or other rights of the holders of the Series A common stock or the Series B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Series A common stock and Series B common stock and may adversely affect the market price of the Series A common stock and the voting and other rights of the holders of Series A common stock and Series B common stock. We have no current plans to issue any shares of preferred stock.</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provisions of Delaware law, our certificate of incorporation and our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33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subject to Section 203 of the Delaware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Corporation Law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Series A common stock.</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146" w:lineRule="exact"/>
        <w:rPr>
          <w:sz w:val="20"/>
          <w:szCs w:val="20"/>
          <w:color w:val="auto"/>
        </w:rPr>
      </w:pPr>
    </w:p>
    <w:p>
      <w:pPr>
        <w:ind w:left="1260" w:right="479" w:firstLine="360"/>
        <w:spacing w:after="0" w:line="260" w:lineRule="auto"/>
        <w:rPr>
          <w:sz w:val="20"/>
          <w:szCs w:val="20"/>
          <w:color w:val="auto"/>
        </w:rPr>
      </w:pPr>
      <w:r>
        <w:rPr>
          <w:rFonts w:ascii="Times New Roman" w:cs="Times New Roman" w:eastAsia="Times New Roman" w:hAnsi="Times New Roman"/>
          <w:sz w:val="18"/>
          <w:szCs w:val="18"/>
          <w:i w:val="1"/>
          <w:iCs w:val="1"/>
          <w:color w:val="auto"/>
        </w:rPr>
        <w:t>Classified Board; Election and Removal of Directors</w:t>
      </w:r>
      <w:r>
        <w:rPr>
          <w:rFonts w:ascii="Times New Roman" w:cs="Times New Roman" w:eastAsia="Times New Roman" w:hAnsi="Times New Roman"/>
          <w:sz w:val="18"/>
          <w:szCs w:val="18"/>
          <w:color w:val="auto"/>
        </w:rPr>
        <w:t>. Our certificate of incorporation provides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is divided into three classes, with each class serving staggered three-year terms. Our board of directors has the exclusive right to expand the size of our board of directors and to elect directors to fill a vacancy created by the expansion of the board of directors or the resignation, death, or removal of a director.</w:t>
      </w:r>
    </w:p>
    <w:p>
      <w:pPr>
        <w:spacing w:after="0" w:line="33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Stockholder Action; Special Meeting of Stockholders</w:t>
      </w:r>
      <w:r>
        <w:rPr>
          <w:rFonts w:ascii="Times New Roman" w:cs="Times New Roman" w:eastAsia="Times New Roman" w:hAnsi="Times New Roman"/>
          <w:sz w:val="18"/>
          <w:szCs w:val="18"/>
          <w:color w:val="auto"/>
        </w:rPr>
        <w:t>. Our certificate of incorporation provides that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actions are required to be taken by a vote of the stockholders at an annual or special meeting, and that stockholders may not take any action by written consent in lieu of a meeting. A special meeting of stockholders may be called by a majority of our board of directors. Our bylaws have established an advance notice procedure for stockholder proposals to be brought before an annual meeting of our stockholders, including proposed nominations of persons for election to our board of directors.</w:t>
      </w:r>
    </w:p>
    <w:p>
      <w:pPr>
        <w:spacing w:after="0" w:line="115" w:lineRule="exact"/>
        <w:rPr>
          <w:sz w:val="20"/>
          <w:szCs w:val="20"/>
          <w:color w:val="auto"/>
        </w:rPr>
      </w:pPr>
    </w:p>
    <w:p>
      <w:pPr>
        <w:ind w:left="1260" w:right="6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Undesignated Preferred Stock</w:t>
      </w:r>
      <w:r>
        <w:rPr>
          <w:rFonts w:ascii="Times New Roman" w:cs="Times New Roman" w:eastAsia="Times New Roman" w:hAnsi="Times New Roman"/>
          <w:sz w:val="18"/>
          <w:szCs w:val="18"/>
          <w:color w:val="auto"/>
        </w:rPr>
        <w:t>. As discussed above, our board of directors has the ability to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with voting or other rights or preferences that could impede the success of any attempt to change control of our company.</w:t>
      </w:r>
    </w:p>
    <w:p>
      <w:pPr>
        <w:spacing w:after="0" w:line="90"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Choice of Forum</w:t>
      </w:r>
      <w:r>
        <w:rPr>
          <w:rFonts w:ascii="Times New Roman" w:cs="Times New Roman" w:eastAsia="Times New Roman" w:hAnsi="Times New Roman"/>
          <w:sz w:val="18"/>
          <w:szCs w:val="18"/>
          <w:color w:val="auto"/>
        </w:rPr>
        <w:t>. Our bylaws provide that the Court of Chancery of the State of Delaware is the sole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exclusive forum for the following claims or causes of action under the Delaware statutory or common law: (i) any derivative action or proceeding brought on our behalf, (ii) any action asserting a claim of, or a claim based on, a breach of a fiduciary duty owed by any of our current or former directors, officers or other employees or stockholders to us or our stockholders, (iii) any action asserting a claim arising pursuant to any provision of the DGCL or our certificate of incorporation or bylaws (including the interpretation,</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validity or enforceability thereof) or as to which the DGCL confers jurisdiction on the Court of Chancery of the State of Delaware, or (iv) any action asserting a claim governed by the internal affairs doctrine.</w:t>
      </w:r>
    </w:p>
    <w:p>
      <w:pPr>
        <w:spacing w:after="0" w:line="9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However, Section 27 of the Exchange Act creates exclusive federal jurisdiction over all claims brought to enforce any duty or liability created by the Exchange Act or the rules and regulations thereunder. Consequently, this choice of forum provision does not apply to claims or causes of action brought to enforce a duty or liability created by the Exchange Act or any other claim for which the federal courts have exclusive jurisdiction or the Securities Act. Moreover, Section 22 of the Securities Act creates concurrent jurisdiction for federal and state courts over all claims brought to enforce any duty or liability created by the Securities Act or the rules and regulations thereunder.</w:t>
      </w:r>
    </w:p>
    <w:p>
      <w:pPr>
        <w:spacing w:after="0" w:line="12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addition, our bylaws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11"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16"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Additionally, our bylaws provide that any person or entity holding, owning or otherwise acquiring any interest in any of our securities shall be deemed to have notice of and consented to these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2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99"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named in the applicable indenture.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Capitalized terms used in the summary and not defined herein have the meanings specified in the indenture.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16"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5" w:lineRule="exact"/>
        <w:rPr>
          <w:sz w:val="20"/>
          <w:szCs w:val="20"/>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5" w:lineRule="exact"/>
        <w:rPr>
          <w:rFonts w:ascii="Times New Roman" w:cs="Times New Roman" w:eastAsia="Times New Roman" w:hAnsi="Times New Roman"/>
          <w:sz w:val="18"/>
          <w:szCs w:val="18"/>
          <w:color w:val="auto"/>
        </w:rPr>
      </w:pPr>
    </w:p>
    <w:p>
      <w:pPr>
        <w:jc w:val="both"/>
        <w:ind w:left="1800" w:right="439" w:hanging="180"/>
        <w:spacing w:after="0" w:line="261"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71"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53"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3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4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53" w:lineRule="exact"/>
        <w:rPr>
          <w:rFonts w:ascii="Times New Roman" w:cs="Times New Roman" w:eastAsia="Times New Roman" w:hAnsi="Times New Roman"/>
          <w:sz w:val="18"/>
          <w:szCs w:val="18"/>
          <w:color w:val="auto"/>
        </w:rPr>
      </w:pPr>
    </w:p>
    <w:p>
      <w:pPr>
        <w:ind w:left="1800" w:right="89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54"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67" w:lineRule="exact"/>
        <w:rPr>
          <w:rFonts w:ascii="Times New Roman" w:cs="Times New Roman" w:eastAsia="Times New Roman" w:hAnsi="Times New Roman"/>
          <w:sz w:val="18"/>
          <w:szCs w:val="18"/>
          <w:color w:val="auto"/>
        </w:rPr>
      </w:pPr>
    </w:p>
    <w:p>
      <w:pPr>
        <w:jc w:val="both"/>
        <w:ind w:left="1800" w:right="499" w:hanging="180"/>
        <w:spacing w:after="0" w:line="261"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17"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40"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71"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6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81"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10"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6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12"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Certificated Debt Securities</w:t>
      </w:r>
      <w:r>
        <w:rPr>
          <w:rFonts w:ascii="Times New Roman" w:cs="Times New Roman" w:eastAsia="Times New Roman" w:hAnsi="Times New Roman"/>
          <w:sz w:val="18"/>
          <w:szCs w:val="18"/>
          <w:color w:val="auto"/>
        </w:rPr>
        <w:t>. You may transfer or exchange certificated debt securities at any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08"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08" w:lineRule="exact"/>
        <w:rPr>
          <w:sz w:val="20"/>
          <w:szCs w:val="20"/>
          <w:color w:val="auto"/>
        </w:rPr>
      </w:pPr>
    </w:p>
    <w:p>
      <w:pPr>
        <w:jc w:val="both"/>
        <w:ind w:left="1260" w:right="75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Global Debt Securities and Book-Entry System</w:t>
      </w:r>
      <w:r>
        <w:rPr>
          <w:rFonts w:ascii="Times New Roman" w:cs="Times New Roman" w:eastAsia="Times New Roman" w:hAnsi="Times New Roman"/>
          <w:sz w:val="18"/>
          <w:szCs w:val="18"/>
          <w:color w:val="auto"/>
        </w:rPr>
        <w:t>. Each global debt security representing book-entry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will be deposited with, or on behalf of, the Depositary, and registered in the name of the Depositary or a nominee of the Depositary. Please see “Global Securities.”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54" w:lineRule="exact"/>
        <w:rPr>
          <w:sz w:val="20"/>
          <w:szCs w:val="20"/>
          <w:color w:val="auto"/>
        </w:rPr>
      </w:pPr>
    </w:p>
    <w:p>
      <w:pPr>
        <w:ind w:left="1800" w:right="83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Sagimet) is a corporation organized and validly existing under the laws of any U.S. domestic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94"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17" w:lineRule="exact"/>
        <w:rPr>
          <w:sz w:val="20"/>
          <w:szCs w:val="20"/>
          <w:color w:val="auto"/>
        </w:rPr>
      </w:pPr>
    </w:p>
    <w:p>
      <w:pPr>
        <w:ind w:left="1800" w:right="519" w:hanging="180"/>
        <w:spacing w:after="0" w:line="261"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5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Sagimet and the trustee receive written notice from the holders of not less than 25% in principal amount of the outstanding debt securities of that series as provided in the indenture;</w:t>
      </w:r>
    </w:p>
    <w:p>
      <w:pPr>
        <w:spacing w:after="0" w:line="7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Sagimet; and</w:t>
      </w:r>
    </w:p>
    <w:p>
      <w:pPr>
        <w:spacing w:after="0" w:line="13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81"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outstanding from time to time.</w:t>
      </w:r>
    </w:p>
    <w:p>
      <w:pPr>
        <w:spacing w:after="0" w:line="335" w:lineRule="exact"/>
        <w:rPr>
          <w:sz w:val="20"/>
          <w:szCs w:val="20"/>
          <w:color w:val="auto"/>
        </w:r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33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1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21"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8" w:lineRule="exact"/>
        <w:rPr>
          <w:sz w:val="20"/>
          <w:szCs w:val="20"/>
          <w:color w:val="auto"/>
        </w:rPr>
      </w:pPr>
    </w:p>
    <w:p>
      <w:pPr>
        <w:ind w:left="1800" w:right="65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spacing w:after="0" w:line="282" w:lineRule="auto"/>
        <w:rPr>
          <w:sz w:val="20"/>
          <w:szCs w:val="20"/>
          <w:color w:val="auto"/>
        </w:rPr>
      </w:pPr>
      <w:r>
        <w:rPr>
          <w:rFonts w:ascii="Times New Roman" w:cs="Times New Roman" w:eastAsia="Times New Roman" w:hAnsi="Times New Roman"/>
          <w:sz w:val="18"/>
          <w:szCs w:val="18"/>
          <w:color w:val="auto"/>
        </w:rPr>
        <w:t>less than a majority in principal amount of the outstanding debt securities of that series a direction inconsistent with that request and has failed to institute the proceeding within 60 days.</w:t>
      </w:r>
    </w:p>
    <w:p>
      <w:pPr>
        <w:spacing w:after="0" w:line="81"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1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4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40" w:lineRule="exact"/>
        <w:rPr>
          <w:sz w:val="20"/>
          <w:szCs w:val="20"/>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1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40"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of 1939, as amended.</w:t>
      </w:r>
    </w:p>
    <w:p>
      <w:pPr>
        <w:spacing w:after="0" w:line="94"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72" w:lineRule="exact"/>
        <w:rPr>
          <w:sz w:val="20"/>
          <w:szCs w:val="20"/>
          <w:color w:val="auto"/>
        </w:rPr>
      </w:pPr>
    </w:p>
    <w:p>
      <w:pPr>
        <w:ind w:left="1800" w:right="67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71"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15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6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33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22" w:lineRule="exact"/>
        <w:rPr>
          <w:sz w:val="20"/>
          <w:szCs w:val="20"/>
          <w:color w:val="auto"/>
        </w:rPr>
      </w:pPr>
    </w:p>
    <w:p>
      <w:pPr>
        <w:ind w:left="1260" w:right="8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applicable series of debt securities, upon compliance with certain conditions:</w:t>
      </w:r>
    </w:p>
    <w:p>
      <w:pPr>
        <w:spacing w:after="0" w:line="52" w:lineRule="exact"/>
        <w:rPr>
          <w:sz w:val="20"/>
          <w:szCs w:val="20"/>
          <w:color w:val="auto"/>
        </w:rPr>
      </w:pPr>
    </w:p>
    <w:p>
      <w:pPr>
        <w:ind w:left="1800" w:right="57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17" w:lineRule="exact"/>
        <w:rPr>
          <w:sz w:val="20"/>
          <w:szCs w:val="20"/>
          <w:color w:val="auto"/>
        </w:rPr>
      </w:pPr>
    </w:p>
    <w:p>
      <w:pPr>
        <w:ind w:left="1800" w:right="439" w:hanging="180"/>
        <w:spacing w:after="0" w:line="254"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3"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w:t>
      </w:r>
    </w:p>
    <w:p>
      <w:pPr>
        <w:spacing w:after="0" w:line="112"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debt securities, will be governed by the laws of the State of New York.</w:t>
      </w:r>
    </w:p>
    <w:p>
      <w:pPr>
        <w:spacing w:after="0" w:line="94"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1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94"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We may issue warrants for the purchase of shares of our Series A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216"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13" w:lineRule="exact"/>
        <w:rPr>
          <w:sz w:val="20"/>
          <w:szCs w:val="20"/>
          <w:color w:val="auto"/>
        </w:rPr>
      </w:pPr>
    </w:p>
    <w:p>
      <w:pPr>
        <w:ind w:left="1800" w:right="55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Series A common stock or preferred stock purchasable upon the exercise of warrants to purchase such shares and the price at which such number of shares may be purchased upon such exercise;</w:t>
      </w:r>
    </w:p>
    <w:p>
      <w:pPr>
        <w:spacing w:after="0" w:line="54"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40"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debt securities, preferred stock or Series A common stock will be separately transferable;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consequences applicable to the warrants; and</w:t>
      </w:r>
    </w:p>
    <w:p>
      <w:pPr>
        <w:spacing w:after="0" w:line="90"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Holders of equity warrants will not be entitled to:</w:t>
      </w:r>
    </w:p>
    <w:p>
      <w:pPr>
        <w:spacing w:after="0" w:line="77" w:lineRule="exact"/>
        <w:rPr>
          <w:sz w:val="20"/>
          <w:szCs w:val="20"/>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consent or receive dividends;</w:t>
      </w:r>
    </w:p>
    <w:p>
      <w:pPr>
        <w:spacing w:after="0" w:line="10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our stockholders.</w:t>
      </w:r>
    </w:p>
    <w:p>
      <w:pPr>
        <w:spacing w:after="0" w:line="9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Each warrant will entitle its holder to purchase the principal amount of debt securities or the number of shares of preferred stock or Series A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5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Series A common stock or preferred stock are exercised, the holders of the warrants will not have any rights of holders of the underlying Series A common stock or preferred stock, including any rights to receive dividends or payments upon any liquidation, dissolution or winding up on the Series A common stock or preferred stock, if any.</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11"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54" w:lineRule="exact"/>
        <w:rPr>
          <w:sz w:val="20"/>
          <w:szCs w:val="20"/>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We may issue subscription rights to purchase our Series A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20"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54" w:lineRule="exact"/>
        <w:rPr>
          <w:sz w:val="20"/>
          <w:szCs w:val="20"/>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Series A common stock, preferred stock or debt securities upon the exercise of the subscription rights;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Series A common stock, preferred stock or debt securities which may be purchased per each subscription right;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53" w:lineRule="exact"/>
        <w:rPr>
          <w:rFonts w:ascii="Times New Roman" w:cs="Times New Roman" w:eastAsia="Times New Roman" w:hAnsi="Times New Roman"/>
          <w:sz w:val="18"/>
          <w:szCs w:val="18"/>
          <w:color w:val="auto"/>
        </w:rPr>
      </w:pPr>
    </w:p>
    <w:p>
      <w:pPr>
        <w:ind w:left="1800" w:right="459" w:hanging="180"/>
        <w:spacing w:after="0" w:line="275"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281"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8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62" w:lineRule="exact"/>
        <w:rPr>
          <w:sz w:val="20"/>
          <w:szCs w:val="20"/>
          <w:color w:val="auto"/>
        </w:rPr>
      </w:pPr>
    </w:p>
    <w:p>
      <w:pPr>
        <w:jc w:val="both"/>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(collectively, global securities). The global securities will be deposited with, or on behalf of, The Depository Trust Company, New York, New York, as depositary (DTC), and registered in the name of Cede</w:t>
      </w:r>
    </w:p>
    <w:p>
      <w:pPr>
        <w:spacing w:after="0" w:line="2" w:lineRule="exact"/>
        <w:rPr>
          <w:sz w:val="20"/>
          <w:szCs w:val="20"/>
          <w:color w:val="auto"/>
        </w:rPr>
      </w:pPr>
    </w:p>
    <w:p>
      <w:pPr>
        <w:ind w:left="1260" w:right="559"/>
        <w:spacing w:after="0" w:line="242" w:lineRule="auto"/>
        <w:tabs>
          <w:tab w:leader="none" w:pos="14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17" w:lineRule="exact"/>
        <w:rPr>
          <w:sz w:val="20"/>
          <w:szCs w:val="20"/>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15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(DTCC) .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21"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32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0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08"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0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34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34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99"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08"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54" w:lineRule="exact"/>
        <w:rPr>
          <w:sz w:val="20"/>
          <w:szCs w:val="20"/>
          <w:color w:val="auto"/>
        </w:rPr>
      </w:pPr>
    </w:p>
    <w:p>
      <w:pPr>
        <w:ind w:left="1800" w:right="519" w:hanging="180"/>
        <w:spacing w:after="0" w:line="258"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144" w:lineRule="exact"/>
        <w:rPr>
          <w:sz w:val="20"/>
          <w:szCs w:val="20"/>
          <w:color w:val="auto"/>
        </w:rPr>
      </w:pPr>
    </w:p>
    <w:p>
      <w:pPr>
        <w:ind w:left="1260" w:right="559"/>
        <w:spacing w:after="0" w:line="257" w:lineRule="auto"/>
        <w:rPr>
          <w:sz w:val="20"/>
          <w:szCs w:val="20"/>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336"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Euroclear and Clearstream</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(Clearstream) or Euroclear Bank S.A./N.V., as operator of the Euroclear System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0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1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12"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9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343"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1079"/>
        <w:spacing w:after="0" w:line="266" w:lineRule="auto"/>
        <w:rPr>
          <w:sz w:val="20"/>
          <w:szCs w:val="20"/>
          <w:color w:val="auto"/>
        </w:rPr>
      </w:pPr>
      <w:r>
        <w:rPr>
          <w:rFonts w:ascii="Times New Roman" w:cs="Times New Roman" w:eastAsia="Times New Roman" w:hAnsi="Times New Roman"/>
          <w:sz w:val="18"/>
          <w:szCs w:val="18"/>
          <w:color w:val="auto"/>
        </w:rPr>
        <w:t>received with value on the settlement date of DTC but will be available in the relevant Euroclear or Clearstream cash account only as of the business day for Euroclear or Clearstream following DTC’s settlement date.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“at-the-market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69" w:lineRule="exact"/>
        <w:rPr>
          <w:sz w:val="20"/>
          <w:szCs w:val="20"/>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(as​ defined in Rule 415 under the Securities Act);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method permitted by applicable law and described in a prospectus supplement.</w:t>
      </w:r>
    </w:p>
    <w:p>
      <w:pPr>
        <w:spacing w:after="0" w:line="15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0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02"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0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1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328"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Any Series A common stock or preferred stock will be listed on the Nasdaq Global Market, but any other securities may or may not be listed on a national securities exchange.</w:t>
      </w:r>
    </w:p>
    <w:p>
      <w:pPr>
        <w:spacing w:after="0" w:line="95"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To facilitate the offering of securities, and to the extent permitted by and in accordance with Regulation M under the Exchange Act,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To the extent permitted by and in accordance with Regulation M under the Exchange Act, any underwriters who are qualified market makers on Nasdaq may engage in passive market making transactions in the securities on Nasdaq during the business day prior to the pricing of an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2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323"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We may engage in “at-the-market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347"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94"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81"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No securities may be sold under this prospectus without delivery, in paper format or in electronic format, or both, of the applicable prospectus supplement describing the method and terms of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Goodwin Procter LLP will pass upon certain legal matters relating to the issuance and sale of the securities offered hereby on behalf of Sagimet Biosciences Inc. Additional legal matters may be passed upon for us or any underwriters, dealers or agents by counsel that we will name in the applicable prospectus supplement.</w:t>
      </w:r>
    </w:p>
    <w:p>
      <w:pPr>
        <w:spacing w:after="0" w:line="39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59" w:firstLine="3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financial statements of Sagimet Biosciences Inc. as of December 31, 2023 and 2022, and for each of the two years in the period ended December 31, 2023, incorporated by reference in this Prospectus by reference to Sagimet Biosciences Inc.’s </w:t>
      </w:r>
      <w:hyperlink r:id="rId92">
        <w:r>
          <w:rPr>
            <w:rFonts w:ascii="Times New Roman" w:cs="Times New Roman" w:eastAsia="Times New Roman" w:hAnsi="Times New Roman"/>
            <w:sz w:val="18"/>
            <w:szCs w:val="18"/>
            <w:u w:val="single" w:color="auto"/>
            <w:color w:val="0000EE"/>
          </w:rPr>
          <w:t>annual report on Form 10-K for the year ended December 31, 2023</w:t>
        </w:r>
      </w:hyperlink>
      <w:r>
        <w:rPr>
          <w:rFonts w:ascii="Times New Roman" w:cs="Times New Roman" w:eastAsia="Times New Roman" w:hAnsi="Times New Roman"/>
          <w:sz w:val="18"/>
          <w:szCs w:val="18"/>
          <w:color w:val="auto"/>
        </w:rPr>
        <w:t>,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45085</wp:posOffset>
            </wp:positionV>
            <wp:extent cx="61893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833755</wp:posOffset>
            </wp:positionV>
            <wp:extent cx="2905760" cy="1036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290576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ind w:right="2620"/>
        <w:spacing w:after="0"/>
        <w:rPr>
          <w:sz w:val="20"/>
          <w:szCs w:val="20"/>
          <w:color w:val="auto"/>
        </w:rPr>
      </w:pPr>
      <w:r>
        <w:rPr>
          <w:rFonts w:ascii="Times New Roman" w:cs="Times New Roman" w:eastAsia="Times New Roman" w:hAnsi="Times New Roman"/>
          <w:sz w:val="25"/>
          <w:szCs w:val="25"/>
          <w:b w:val="1"/>
          <w:bCs w:val="1"/>
          <w:color w:val="auto"/>
        </w:rPr>
        <w:t>29,166,700 Shares of Series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975995</wp:posOffset>
            </wp:positionV>
            <wp:extent cx="12344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142240</wp:posOffset>
            </wp:positionV>
            <wp:extent cx="12344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9"/>
          <w:szCs w:val="29"/>
          <w:b w:val="1"/>
          <w:bCs w:val="1"/>
          <w:color w:val="auto"/>
        </w:rPr>
        <w:t>​Leerink Partners ​  ​ TD Cowen ​ ​Guggenheim Securities ​ ​Oppenheimer &amp; Co.​</w:t>
      </w:r>
    </w:p>
    <w:p>
      <w:pPr>
        <w:spacing w:after="0" w:line="29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i w:val="1"/>
          <w:iCs w:val="1"/>
          <w:color w:val="auto"/>
        </w:rPr>
        <w:t>Co-Lead Managers</w:t>
      </w:r>
    </w:p>
    <w:p>
      <w:pPr>
        <w:spacing w:after="0" w:line="140" w:lineRule="exact"/>
        <w:rPr>
          <w:sz w:val="20"/>
          <w:szCs w:val="20"/>
          <w:color w:val="auto"/>
        </w:rPr>
      </w:pPr>
    </w:p>
    <w:p>
      <w:pPr>
        <w:ind w:left="500"/>
        <w:spacing w:after="0"/>
        <w:tabs>
          <w:tab w:leader="none" w:pos="3760" w:val="left"/>
          <w:tab w:leader="none" w:pos="4760" w:val="left"/>
          <w:tab w:leader="none" w:pos="8560" w:val="left"/>
          <w:tab w:leader="none" w:pos="9540" w:val="left"/>
        </w:tabs>
        <w:rPr>
          <w:sz w:val="20"/>
          <w:szCs w:val="20"/>
          <w:color w:val="auto"/>
        </w:rPr>
      </w:pPr>
      <w:r>
        <w:rPr>
          <w:rFonts w:ascii="Times New Roman" w:cs="Times New Roman" w:eastAsia="Times New Roman" w:hAnsi="Times New Roman"/>
          <w:sz w:val="29"/>
          <w:szCs w:val="29"/>
          <w:b w:val="1"/>
          <w:bCs w:val="1"/>
          <w:color w:val="auto"/>
        </w:rPr>
        <w:t>​Canaccord Genuity​</w:t>
      </w:r>
      <w:r>
        <w:rPr>
          <w:sz w:val="20"/>
          <w:szCs w:val="20"/>
          <w:color w:val="auto"/>
        </w:rPr>
        <w:tab/>
      </w:r>
      <w:r>
        <w:rPr>
          <w:rFonts w:ascii="Times New Roman" w:cs="Times New Roman" w:eastAsia="Times New Roman" w:hAnsi="Times New Roman"/>
          <w:sz w:val="29"/>
          <w:szCs w:val="29"/>
          <w:b w:val="1"/>
          <w:bCs w:val="1"/>
          <w:color w:val="auto"/>
        </w:rPr>
        <w:t>​</w:t>
      </w:r>
      <w:r>
        <w:rPr>
          <w:sz w:val="20"/>
          <w:szCs w:val="20"/>
          <w:color w:val="auto"/>
        </w:rPr>
        <w:tab/>
      </w:r>
      <w:r>
        <w:rPr>
          <w:rFonts w:ascii="Times New Roman" w:cs="Times New Roman" w:eastAsia="Times New Roman" w:hAnsi="Times New Roman"/>
          <w:sz w:val="29"/>
          <w:szCs w:val="29"/>
          <w:b w:val="1"/>
          <w:bCs w:val="1"/>
          <w:color w:val="auto"/>
        </w:rPr>
        <w:t>H.C. Wainwright &amp; Co.​</w:t>
      </w:r>
      <w:r>
        <w:rPr>
          <w:sz w:val="20"/>
          <w:szCs w:val="20"/>
          <w:color w:val="auto"/>
        </w:rPr>
        <w:tab/>
      </w:r>
      <w:r>
        <w:rPr>
          <w:rFonts w:ascii="Times New Roman" w:cs="Times New Roman" w:eastAsia="Times New Roman" w:hAnsi="Times New Roman"/>
          <w:sz w:val="29"/>
          <w:szCs w:val="29"/>
          <w:b w:val="1"/>
          <w:bCs w:val="1"/>
          <w:color w:val="auto"/>
        </w:rPr>
        <w:t>​</w:t>
      </w:r>
      <w:r>
        <w:rPr>
          <w:sz w:val="20"/>
          <w:szCs w:val="20"/>
          <w:color w:val="auto"/>
        </w:rPr>
        <w:tab/>
      </w:r>
      <w:r>
        <w:rPr>
          <w:rFonts w:ascii="Times New Roman" w:cs="Times New Roman" w:eastAsia="Times New Roman" w:hAnsi="Times New Roman"/>
          <w:sz w:val="29"/>
          <w:szCs w:val="29"/>
          <w:b w:val="1"/>
          <w:bCs w:val="1"/>
          <w:color w:val="auto"/>
        </w:rPr>
        <w:t>Jones​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788670</wp:posOffset>
            </wp:positionV>
            <wp:extent cx="61893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sectPr>
      <w:pgSz w:w="11900" w:h="16838" w:orient="portrait"/>
      <w:cols w:equalWidth="0" w:num="1">
        <w:col w:w="10300"/>
      </w:cols>
      <w:pgMar w:left="580" w:top="97"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decimal"/>
      <w:start w:val="1"/>
    </w:lvl>
  </w:abstractNum>
  <w:abstractNum w:abstractNumId="1">
    <w:nsid w:val="1E7FF521"/>
    <w:multiLevelType w:val="hybridMultilevel"/>
    <w:lvl w:ilvl="0">
      <w:lvlJc w:val="left"/>
      <w:lvlText w:val="•"/>
      <w:numFmt w:val="bullet"/>
      <w:start w:val="1"/>
    </w:lvl>
    <w:lvl w:ilvl="1">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1)"/>
      <w:numFmt w:val="lowerRoman"/>
      <w:start w:val="2"/>
    </w:lvl>
  </w:abstractNum>
  <w:abstractNum w:abstractNumId="17">
    <w:nsid w:val="2463B9EA"/>
    <w:multiLevelType w:val="hybridMultilevel"/>
    <w:lvl w:ilvl="0">
      <w:lvlJc w:val="left"/>
      <w:lvlText w:val="(%1)"/>
      <w:numFmt w:val="lowerRoman"/>
      <w:start w:val="1"/>
    </w:lvl>
  </w:abstractNum>
  <w:abstractNum w:abstractNumId="18">
    <w:nsid w:val="5E884ADC"/>
    <w:multiLevelType w:val="hybridMultilevel"/>
    <w:lvl w:ilvl="0">
      <w:lvlJc w:val="left"/>
      <w:lvlText w:val="(%1)"/>
      <w:numFmt w:val="lowerRoman"/>
      <w:start w:val="1"/>
    </w:lvl>
  </w:abstractNum>
  <w:abstractNum w:abstractNumId="19">
    <w:nsid w:val="51EAD36B"/>
    <w:multiLevelType w:val="hybridMultilevel"/>
    <w:lvl w:ilvl="0">
      <w:lvlJc w:val="left"/>
      <w:lvlText w:val="(%1)"/>
      <w:numFmt w:val="lowerRoman"/>
      <w:start w:val="5"/>
    </w:lvl>
  </w:abstractNum>
  <w:abstractNum w:abstractNumId="20">
    <w:nsid w:val="2D517796"/>
    <w:multiLevelType w:val="hybridMultilevel"/>
    <w:lvl w:ilvl="0">
      <w:lvlJc w:val="left"/>
      <w:lvlText w:val="(%1)"/>
      <w:numFmt w:val="lowerRoman"/>
      <w:start w:val="14"/>
    </w:lvl>
  </w:abstractNum>
  <w:abstractNum w:abstractNumId="21">
    <w:nsid w:val="580BD78F"/>
    <w:multiLevelType w:val="hybridMultilevel"/>
    <w:lvl w:ilvl="0">
      <w:lvlJc w:val="left"/>
      <w:lvlText w:val="(%1)"/>
      <w:numFmt w:val="lowerRoman"/>
      <w:start w:val="7"/>
    </w:lvl>
  </w:abstractNum>
  <w:abstractNum w:abstractNumId="22">
    <w:nsid w:val="153EA438"/>
    <w:multiLevelType w:val="hybridMultilevel"/>
    <w:lvl w:ilvl="0">
      <w:lvlJc w:val="left"/>
      <w:lvlText w:val="%1."/>
      <w:numFmt w:val="upperLetter"/>
      <w:start w:val="1"/>
    </w:lvl>
  </w:abstractNum>
  <w:abstractNum w:abstractNumId="23">
    <w:nsid w:val="3855585C"/>
    <w:multiLevelType w:val="hybridMultilevel"/>
    <w:lvl w:ilvl="0">
      <w:lvlJc w:val="left"/>
      <w:lvlText w:val="%1."/>
      <w:numFmt w:val="upperLetter"/>
      <w:start w:val="1"/>
    </w:lvl>
  </w:abstractNum>
  <w:abstractNum w:abstractNumId="24">
    <w:nsid w:val="70A64E2A"/>
    <w:multiLevelType w:val="hybridMultilevel"/>
    <w:lvl w:ilvl="0">
      <w:lvlJc w:val="left"/>
      <w:lvlText w:val="(%1)"/>
      <w:numFmt w:val="lowerLetter"/>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1)"/>
      <w:numFmt w:val="lowerRoman"/>
      <w:start w:val="1"/>
    </w:lvl>
  </w:abstractNum>
  <w:abstractNum w:abstractNumId="27">
    <w:nsid w:val="1D4ED43B"/>
    <w:multiLevelType w:val="hybridMultilevel"/>
    <w:lvl w:ilvl="0">
      <w:lvlJc w:val="left"/>
      <w:lvlText w:val="(%1)"/>
      <w:numFmt w:val="lowerRoman"/>
      <w:start w:val="1"/>
    </w:lvl>
  </w:abstractNum>
  <w:abstractNum w:abstractNumId="28">
    <w:nsid w:val="725A06FB"/>
    <w:multiLevelType w:val="hybridMultilevel"/>
    <w:lvl w:ilvl="0">
      <w:lvlJc w:val="left"/>
      <w:lvlText w:val="(%1)"/>
      <w:numFmt w:val="lowerRoman"/>
      <w:start w:val="1"/>
    </w:lvl>
  </w:abstractNum>
  <w:abstractNum w:abstractNumId="29">
    <w:nsid w:val="2CD89A32"/>
    <w:multiLevelType w:val="hybridMultilevel"/>
    <w:lvl w:ilvl="0">
      <w:lvlJc w:val="left"/>
      <w:lvlText w:val="(%1)"/>
      <w:numFmt w:val="lowerRoman"/>
      <w:start w:val="8"/>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amp;"/>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5"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jpe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jpe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71" Type="http://schemas.openxmlformats.org/officeDocument/2006/relationships/hyperlink" Target="https://www.sec.gov/ix?doc=/Archives/edgar/data/1400118/000110465926026140/sgmt-20251231x10k.htm" TargetMode="External"/><Relationship Id="rId72" Type="http://schemas.openxmlformats.org/officeDocument/2006/relationships/hyperlink" Target="https://www.sec.gov/ix?doc=/Archives/edgar/data/1400118/000110465926046006/tm261563-1_def14a.htm" TargetMode="External"/><Relationship Id="rId73" Type="http://schemas.openxmlformats.org/officeDocument/2006/relationships/hyperlink" Target="https://www.sec.gov/ix?doc=/Archives/edgar/data/1400118/000110465926045629/tm2612312d1_8k.htm" TargetMode="External"/><Relationship Id="rId74" Type="http://schemas.openxmlformats.org/officeDocument/2006/relationships/hyperlink" Target="https://www.sec.gov/ix?doc=/Archives/edgar/data/0001400118/000110465926049015/tm2612794d1_8k.htm" TargetMode="External"/><Relationship Id="rId76" Type="http://schemas.openxmlformats.org/officeDocument/2006/relationships/hyperlink" Target="https://www.sec.gov/Archives/edgar/data/1400118/000110465923079973/tm237052d18_8a12b.htm" TargetMode="External"/><Relationship Id="rId77" Type="http://schemas.openxmlformats.org/officeDocument/2006/relationships/hyperlink" Target="https://www.sec.gov/Archives/edgar/data/1400118/000155837024003812/sgmt-20231231xex4d3.htm" TargetMode="External"/><Relationship Id="rId92" Type="http://schemas.openxmlformats.org/officeDocument/2006/relationships/hyperlink" Target="http://www.sec.gov/ix?doc=/Archives/edgar/data/1400118/000155837024003812/sgmt-20231231x10k.htm" TargetMode="External"/><Relationship Id="rId93" Type="http://schemas.openxmlformats.org/officeDocument/2006/relationships/hyperlink" Target="http://www.sec.gov/ix?doc=/Archives/edgar/data/1400118/000155837024008205/sgmt-20240331x10q.htm" TargetMode="External"/><Relationship Id="rId94" Type="http://schemas.openxmlformats.org/officeDocument/2006/relationships/hyperlink" Target="http://www.sec.gov/ix?doc=/Archives/edgar/data/1400118/000155837024012136/sgmt-20240630x10q.htm" TargetMode="External"/><Relationship Id="rId95" Type="http://schemas.openxmlformats.org/officeDocument/2006/relationships/hyperlink" Target="http://www.sec.gov/Archives/edgar/data/1400118/000110465924048534/tm2411865-1_def14.htm" TargetMode="External"/><Relationship Id="rId96" Type="http://schemas.openxmlformats.org/officeDocument/2006/relationships/hyperlink" Target="http://www.sec.gov/ix?doc=/Archives/edgar/data/1400118/000110465924005399/tm2333216d8_8k.htm" TargetMode="External"/><Relationship Id="rId97" Type="http://schemas.openxmlformats.org/officeDocument/2006/relationships/hyperlink" Target="http://www.sec.gov/ix?doc=/Archives/edgar/data/1400118/000110465924008230/tm244525d1_8k.htm" TargetMode="External"/><Relationship Id="rId98" Type="http://schemas.openxmlformats.org/officeDocument/2006/relationships/hyperlink" Target="http://www.sec.gov/ix?doc=/Archives/edgar/data/1400118/000110465924077430/tm2418784d1_8k.htm" TargetMode="External"/><Relationship Id="rId99" Type="http://schemas.openxmlformats.org/officeDocument/2006/relationships/hyperlink" Target="http://www.sec.gov/ix?doc=/Archives/edgar/data/1400118/000110465924084645/tm2420572d1_8k.htm" TargetMode="External"/><Relationship Id="rId100" Type="http://schemas.openxmlformats.org/officeDocument/2006/relationships/hyperlink" Target="http://www.sec.gov/ix?doc=/Archives/edgar/data/1400118/000110465924089340/tm2421625d1_8k.htm" TargetMode="External"/><Relationship Id="rId101" Type="http://schemas.openxmlformats.org/officeDocument/2006/relationships/hyperlink" Target="http://www.sec.gov/Archives/edgar/data/1400118/000110465923079973/tm237052d18_8a12b.htm" TargetMode="External"/><Relationship Id="rId102" Type="http://schemas.openxmlformats.org/officeDocument/2006/relationships/hyperlink" Target="http://www.sec.gov/Archives/edgar/data/1400118/000110465923074215/tm237052d7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2026-04-28T05:39:15Z</dcterms:created>
  <dcterms:modified xsi:type="dcterms:W3CDTF">2026-04-28T05:39:15Z</dcterms:modified>
</cp:coreProperties>
</file>