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8394d424b5.htm"/>
        <w:bookmarkStart w:id="1" w:name="ksd68394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333-281582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(To Prospectus dated August 26, 2024)</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36875" cy="1054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36875" cy="1054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8,750,010 Shares of Series A 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Pre-Funded Warrants to Purchase 2,750,010 Shares of Series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8,750,010 shares of our Series A common stock, par value $0.0001 per share (Series A common stock) or for certain investors that so choose, in lieu of shares of Series A common stock, pre-funded warrants to purchase shares of our Series A common stock (Pre-Funded Warrants), pursuant to this prospectus supplement and the accompanying prospectus. The Pre-Funded Warrants will be exercisable immediately and are exercisable for one share of our Series A common stock. The purchase price of each Pre-Funded Warrant is equal to the combined purchase price at which a share of Series A common stock is sold in this offering, minus $0.0001, and the exercise price of each Pre-Funded Warrant is $0.0001 per share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Series A common stock is listed on the Nasdaq Global Market under the symbol “SGMT.” On September 29, 2026, the last reported sale price of our Series A common stock on the Nasdaq Global Market was $9.33 per share. There is no established public trading market for the Pre-Funded Warrants, and we do not expect a market to develop. In addition, we do not intend to apply for listing of the Pre-Funded Warrants on any securities exchange or recognized trading system. Without an active trading market, the liquidity of the Pre-Funded Warrants will be limited.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and a “smaller reporting company” as defined under the federal securities laws and, as such, have elected to comply with certain reduced reporting requirements. </w:t>
      </w:r>
    </w:p>
    <w:p>
      <w:pPr>
        <w:pStyle w:val="TextBody"/>
        <w:bidi w:val="0"/>
        <w:spacing w:before="120" w:after="0"/>
        <w:jc w:val="left"/>
        <w:rPr/>
      </w:pPr>
      <w:r>
        <w:rPr>
          <w:rFonts w:ascii="Times New Roman" w:hAnsi="Times New Roman"/>
          <w:b/>
          <w:sz w:val="24"/>
        </w:rPr>
        <w:t>Investing in our Series A common stock involves a high degree of risk. See the section titled “</w:t>
      </w:r>
      <w:hyperlink w:anchor="supptoc68394_3">
        <w:r>
          <w:rPr>
            <w:rStyle w:val="InternetLink"/>
            <w:rFonts w:ascii="Times New Roman" w:hAnsi="Times New Roman"/>
            <w:b/>
            <w:sz w:val="24"/>
          </w:rPr>
          <w:t>Risk Factors</w:t>
        </w:r>
      </w:hyperlink>
      <w:r>
        <w:rPr>
          <w:rFonts w:ascii="Times New Roman" w:hAnsi="Times New Roman"/>
          <w:b/>
          <w:sz w:val="24"/>
        </w:rPr>
        <w:t>” beginning on page S-9.</w:t>
      </w:r>
    </w:p>
    <w:p>
      <w:pPr>
        <w:pStyle w:val="TextBody"/>
        <w:bidi w:val="0"/>
        <w:spacing w:before="12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33"/>
        <w:gridCol w:w="384"/>
        <w:gridCol w:w="221"/>
        <w:gridCol w:w="884"/>
        <w:gridCol w:w="60"/>
        <w:gridCol w:w="384"/>
        <w:gridCol w:w="285"/>
        <w:gridCol w:w="1487"/>
        <w:gridCol w:w="60"/>
        <w:gridCol w:w="384"/>
        <w:gridCol w:w="140"/>
        <w:gridCol w:w="1302"/>
        <w:gridCol w:w="64"/>
      </w:tblGrid>
      <w:tr>
        <w:trPr/>
        <w:tc>
          <w:tcPr>
            <w:tcW w:w="3733"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3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105" w:type="dxa"/>
            <w:gridSpan w:val="2"/>
            <w:tcBorders/>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772" w:type="dxa"/>
            <w:gridSpan w:val="2"/>
            <w:tcBorders/>
            <w:vAlign w:val="bottom"/>
          </w:tcPr>
          <w:p>
            <w:pPr>
              <w:pStyle w:val="TableContents"/>
              <w:bidi w:val="0"/>
              <w:spacing w:before="0" w:after="283"/>
              <w:jc w:val="center"/>
              <w:rPr>
                <w:b/>
              </w:rPr>
            </w:pPr>
            <w:r>
              <w:rPr>
                <w:b/>
              </w:rPr>
              <w:t>Per Pre-Funded</w:t>
              <w:br/>
              <w:t>Warrant</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38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9.9999</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114,999,925</w:t>
            </w:r>
          </w:p>
        </w:tc>
        <w:tc>
          <w:tcPr>
            <w:tcW w:w="64" w:type="dxa"/>
            <w:tcBorders/>
            <w:shd w:fill="CCEEFF" w:val="clear"/>
            <w:vAlign w:val="bottom"/>
          </w:tcPr>
          <w:p>
            <w:pPr>
              <w:pStyle w:val="TableContents"/>
              <w:bidi w:val="0"/>
              <w:spacing w:before="0" w:after="283"/>
              <w:jc w:val="left"/>
              <w:rPr/>
            </w:pPr>
            <w:r>
              <w:rPr/>
              <w:t> </w:t>
            </w:r>
          </w:p>
        </w:tc>
      </w:tr>
      <w:tr>
        <w:trPr/>
        <w:tc>
          <w:tcPr>
            <w:tcW w:w="373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8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0.60</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487" w:type="dxa"/>
            <w:tcBorders/>
            <w:vAlign w:val="bottom"/>
          </w:tcPr>
          <w:p>
            <w:pPr>
              <w:pStyle w:val="TableContents"/>
              <w:bidi w:val="0"/>
              <w:spacing w:before="0" w:after="283"/>
              <w:jc w:val="right"/>
              <w:rPr/>
            </w:pPr>
            <w:r>
              <w:rPr/>
              <w:t>0.60</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02" w:type="dxa"/>
            <w:tcBorders/>
            <w:vAlign w:val="bottom"/>
          </w:tcPr>
          <w:p>
            <w:pPr>
              <w:pStyle w:val="TableContents"/>
              <w:bidi w:val="0"/>
              <w:spacing w:before="0" w:after="283"/>
              <w:jc w:val="right"/>
              <w:rPr/>
            </w:pPr>
            <w:r>
              <w:rPr/>
              <w:t>6,900,012</w:t>
            </w:r>
          </w:p>
        </w:tc>
        <w:tc>
          <w:tcPr>
            <w:tcW w:w="64" w:type="dxa"/>
            <w:tcBorders/>
            <w:vAlign w:val="bottom"/>
          </w:tcPr>
          <w:p>
            <w:pPr>
              <w:pStyle w:val="TableContents"/>
              <w:bidi w:val="0"/>
              <w:spacing w:before="0" w:after="283"/>
              <w:jc w:val="left"/>
              <w:rPr/>
            </w:pPr>
            <w:r>
              <w:rPr/>
              <w:t> </w:t>
            </w:r>
          </w:p>
        </w:tc>
      </w:tr>
      <w:tr>
        <w:trPr/>
        <w:tc>
          <w:tcPr>
            <w:tcW w:w="37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8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9.40</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9.3999</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108,099,913</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rFonts w:ascii="Times New Roman" w:hAnsi="Times New Roman"/>
                <w:sz w:val="20"/>
              </w:rPr>
              <w:t>See “</w:t>
            </w:r>
            <w:hyperlink w:anchor="supptoc68394_10">
              <w:r>
                <w:rPr>
                  <w:rStyle w:val="InternetLink"/>
                  <w:rFonts w:ascii="Times New Roman" w:hAnsi="Times New Roman"/>
                  <w:sz w:val="20"/>
                </w:rPr>
                <w:t>Underwriting</w:t>
              </w:r>
            </w:hyperlink>
            <w:r>
              <w:rPr>
                <w:rFonts w:ascii="Times New Roman" w:hAnsi="Times New Roman"/>
                <w:sz w:val="20"/>
              </w:rPr>
              <w:t xml:space="preserve">” beginning on page S-28 for a description of the compensation payable to the underwriters.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underwriters expect to deliver the shares of Series A common stock and Pre-Funded Warrants on or about October 1, 2026. </w:t>
      </w:r>
    </w:p>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33"/>
        <w:gridCol w:w="88"/>
        <w:gridCol w:w="1366"/>
        <w:gridCol w:w="580"/>
        <w:gridCol w:w="2863"/>
        <w:gridCol w:w="580"/>
        <w:gridCol w:w="2095"/>
      </w:tblGrid>
      <w:tr>
        <w:trPr/>
        <w:tc>
          <w:tcPr>
            <w:tcW w:w="2633"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r>
      <w:tr>
        <w:trPr/>
        <w:tc>
          <w:tcPr>
            <w:tcW w:w="2633" w:type="dxa"/>
            <w:tcBorders/>
          </w:tcPr>
          <w:p>
            <w:pPr>
              <w:pStyle w:val="TableContents"/>
              <w:bidi w:val="0"/>
              <w:spacing w:before="0" w:after="283"/>
              <w:jc w:val="left"/>
              <w:rPr>
                <w:b/>
              </w:rPr>
            </w:pPr>
            <w:r>
              <w:rPr>
                <w:b/>
              </w:rPr>
              <w:t>Leerink Partners</w:t>
            </w:r>
          </w:p>
        </w:tc>
        <w:tc>
          <w:tcPr>
            <w:tcW w:w="88" w:type="dxa"/>
            <w:tcBorders/>
            <w:vAlign w:val="bottom"/>
          </w:tcPr>
          <w:p>
            <w:pPr>
              <w:pStyle w:val="TableContents"/>
              <w:bidi w:val="0"/>
              <w:spacing w:before="0" w:after="283"/>
              <w:jc w:val="left"/>
              <w:rPr/>
            </w:pPr>
            <w:r>
              <w:rPr/>
              <w:t> </w:t>
            </w:r>
          </w:p>
        </w:tc>
        <w:tc>
          <w:tcPr>
            <w:tcW w:w="1366" w:type="dxa"/>
            <w:tcBorders/>
          </w:tcPr>
          <w:p>
            <w:pPr>
              <w:pStyle w:val="TableContents"/>
              <w:bidi w:val="0"/>
              <w:spacing w:before="0" w:after="283"/>
              <w:jc w:val="left"/>
              <w:rPr>
                <w:b/>
              </w:rPr>
            </w:pPr>
            <w:r>
              <w:rPr>
                <w:b/>
              </w:rPr>
              <w:t>TD Cowen</w:t>
            </w:r>
          </w:p>
        </w:tc>
        <w:tc>
          <w:tcPr>
            <w:tcW w:w="580" w:type="dxa"/>
            <w:tcBorders/>
            <w:vAlign w:val="bottom"/>
          </w:tcPr>
          <w:p>
            <w:pPr>
              <w:pStyle w:val="TableContents"/>
              <w:bidi w:val="0"/>
              <w:spacing w:before="0" w:after="283"/>
              <w:jc w:val="left"/>
              <w:rPr/>
            </w:pPr>
            <w:r>
              <w:rPr/>
              <w:t>    </w:t>
            </w:r>
          </w:p>
        </w:tc>
        <w:tc>
          <w:tcPr>
            <w:tcW w:w="2863" w:type="dxa"/>
            <w:tcBorders/>
          </w:tcPr>
          <w:p>
            <w:pPr>
              <w:pStyle w:val="TableContents"/>
              <w:bidi w:val="0"/>
              <w:spacing w:before="0" w:after="283"/>
              <w:jc w:val="left"/>
              <w:rPr>
                <w:b/>
              </w:rPr>
            </w:pPr>
            <w:r>
              <w:rPr>
                <w:b/>
              </w:rPr>
              <w:t>Guggenheim Securities</w:t>
            </w:r>
          </w:p>
        </w:tc>
        <w:tc>
          <w:tcPr>
            <w:tcW w:w="580" w:type="dxa"/>
            <w:tcBorders/>
            <w:vAlign w:val="bottom"/>
          </w:tcPr>
          <w:p>
            <w:pPr>
              <w:pStyle w:val="TableContents"/>
              <w:bidi w:val="0"/>
              <w:spacing w:before="0" w:after="283"/>
              <w:jc w:val="left"/>
              <w:rPr/>
            </w:pPr>
            <w:r>
              <w:rPr/>
              <w:t>    </w:t>
            </w:r>
          </w:p>
        </w:tc>
        <w:tc>
          <w:tcPr>
            <w:tcW w:w="2095" w:type="dxa"/>
            <w:tcBorders/>
          </w:tcPr>
          <w:p>
            <w:pPr>
              <w:pStyle w:val="TableContents"/>
              <w:bidi w:val="0"/>
              <w:spacing w:before="0" w:after="283"/>
              <w:jc w:val="right"/>
              <w:rPr>
                <w:b/>
              </w:rPr>
            </w:pPr>
            <w:r>
              <w:rPr>
                <w:b/>
              </w:rPr>
              <w:t>Oppenheimer &amp; Co.</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Co-Lead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5"/>
        <w:gridCol w:w="102"/>
        <w:gridCol w:w="3777"/>
        <w:gridCol w:w="101"/>
        <w:gridCol w:w="2348"/>
        <w:gridCol w:w="101"/>
        <w:gridCol w:w="1531"/>
      </w:tblGrid>
      <w:tr>
        <w:trPr/>
        <w:tc>
          <w:tcPr>
            <w:tcW w:w="224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Canaccord Genuity</w:t>
            </w:r>
          </w:p>
        </w:tc>
        <w:tc>
          <w:tcPr>
            <w:tcW w:w="102"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  </w:t>
            </w:r>
            <w:r>
              <w:rPr>
                <w:b/>
              </w:rPr>
              <w:t>H.C. Wainwright &amp; Co.</w:t>
            </w:r>
          </w:p>
        </w:tc>
        <w:tc>
          <w:tcPr>
            <w:tcW w:w="101"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center"/>
              <w:rPr/>
            </w:pPr>
            <w:r>
              <w:rPr/>
              <w:t>  </w:t>
            </w:r>
            <w:r>
              <w:rPr>
                <w:b/>
              </w:rPr>
              <w:t>Jones  </w:t>
            </w:r>
          </w:p>
        </w:tc>
        <w:tc>
          <w:tcPr>
            <w:tcW w:w="101"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right"/>
              <w:rPr>
                <w:b/>
              </w:rPr>
            </w:pPr>
            <w:r>
              <w:rPr>
                <w:b/>
              </w:rPr>
              <w:t>Clear Street</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dated September 30,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oc68394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4">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6">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8">
              <w:r>
                <w:rPr>
                  <w:rStyle w:val="InternetLink"/>
                  <w:rFonts w:ascii="Times New Roman" w:hAnsi="Times New Roman"/>
                  <w:sz w:val="20"/>
                </w:rPr>
                <w:t>DESCRIPTION OF SECURITIES WE ARE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9">
              <w:r>
                <w:rPr>
                  <w:rStyle w:val="InternetLink"/>
                  <w:rFonts w:ascii="Times New Roman" w:hAnsi="Times New Roman"/>
                  <w:sz w:val="20"/>
                </w:rPr>
                <w:t>MATERIAL U.S. FEDERAL INCOME TAX CONSEQUENCES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13">
              <w:r>
                <w:rPr>
                  <w:rStyle w:val="InternetLink"/>
                  <w:rFonts w:ascii="Times New Roman" w:hAnsi="Times New Roman"/>
                  <w:sz w:val="20"/>
                </w:rPr>
                <w:t>WHERE YOU CAN FIND ADDITIONAL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oc68394_14">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6839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3">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4">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5">
              <w:r>
                <w:rPr>
                  <w:rStyle w:val="InternetLink"/>
                  <w:rFonts w:ascii="Times New Roman" w:hAnsi="Times New Roman"/>
                  <w:sz w:val="20"/>
                </w:rPr>
                <w:t>ABOUT 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12">
              <w:r>
                <w:rPr>
                  <w:rStyle w:val="InternetLink"/>
                  <w:rFonts w:ascii="Times New Roman" w:hAnsi="Times New Roman"/>
                  <w:sz w:val="20"/>
                </w:rPr>
                <w:t>DESCRIPTION OF OUR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13">
              <w:r>
                <w:rPr>
                  <w:rStyle w:val="InternetLink"/>
                  <w:rFonts w:ascii="Times New Roman" w:hAnsi="Times New Roman"/>
                  <w:sz w:val="20"/>
                </w:rPr>
                <w:t>GLOBAL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14">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15">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68394_16">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68394_1"/>
      <w:bookmarkEnd w:id="3"/>
      <w:r>
        <w:rPr>
          <w:rFonts w:ascii="Times New Roman" w:hAnsi="Times New Roman"/>
          <w:b/>
          <w:sz w:val="20"/>
        </w:rPr>
        <w:t>ABOUT THIS PROSPECTUS SUPPLEMENT</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form part of a registration statement on Form S-3 that we filed with the Securities and Exchange Commission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“Sagimet,” “Sagimet Biosciences,” “we,” “our,” “us” and the “Company” in this prospectus supplement, we mean Sagimet Biosciences Inc.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or incorporates by reference documents that contain references to trademarks, service marks and trade names owned by us or other entities. All trademarks, service marks and trade names included or incorporated by reference into this prospectus supplement are the property of their respective owners. Solely for convenience, trademarks, service marks and trade names referred to in this prospectus supplement may appear without the ® and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68394_2"/>
      <w:bookmarkEnd w:id="4"/>
      <w:r>
        <w:rPr>
          <w:rFonts w:ascii="Times New Roman" w:hAnsi="Times New Roman"/>
          <w:b/>
          <w:sz w:val="20"/>
          <w:bdr w:val="single" w:sz="8" w:space="1" w:color="000000"/>
        </w:rPr>
        <w:t>PROSPECTUS SUPPLEMENT SUMMARY</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This summary highlights selected information that is incorporated by reference in this prospectus supplement, the accompanying prospectus and any related free writing prospectus. It does not contain all of the information that may be important to you and your investment decision. Before investing in our Series A Common Stock, you should carefully read this entire prospectus supplement, the accompanying prospectus, including the matters set forth under the sections “Risk Factors” of this prospectus supplement, the accompanying prospectus and any related free writing prospectus, as well as the financial statements and related notes and other information that we incorporate by reference herein and therein, including our Annual Report on Form 10-K and our Quarterly Reports on Form 10-Q and the exhibits to the registration statement of which this prospectus supplement and the accompanying prospectus is a part.</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Overview</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are a clinical-stage biopharmaceutical company developing novel therapeutics called fatty acid synthase (FASN) inhibitors that target dysfunctional metabolic and fibrotic pathways in diseases resulting from the overproduction of the fatty acid, palmitate. Our lead drug candidate, denifanstat, is an oral, once-daily pill and selective FASN inhibitor in development for the treatment of acne, metabolic dysfunction-associated steatohepatitis (MASH) and select forms of cancer. Denifanstat met all primary and secondary endpoints in a Phase 3 clinical trial in moderate to severe acne vulgaris and was generally well-tolerated and showed improvements in all efficacy endpoints measured at 52 weeks (secondary endpoints of the trial) in an open-label Phase 3 clinical trial evaluating its long-term safety in patients with moderate to severe acne, both conducted by our license partner, Ascletis BioScience Co. Ltd. (Ascletis), in China. Our second FASN inhibitor, TVB-3567, is a potent and selective small molecule FASN inhibitor in development for acne that is currently undergoing a first-in-human Phase 1 clinical trial.</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FASN Inhibition for the Treatment of Acne</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Acne is one of the most common skin conditions in the United States, with approximately 50 million Americans affected annually and more than 5 million seeking medical treatment for acne each year. Acne affects around 85% of persons between the ages of 12 and 24. Moderate to severe acne accounts for 20% of acne sufferers, or approximately 10 million people in the United States annually. There is no cure for acne; and due to its pathology, most patients require chronic management and multiple annual courses of treatment for flare control.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Acne is a disorder in which dysregulation of fatty acid metabolism plays a key role. FASN is responsible through lipid synthesis for the production of skin oils (sebum). More than 80% of key sebum lipids such as palmitate and sapienic acid are produced by de novo lipogenesis (DNL)/FASN. In acne, excess sebum can lead to skin lesions and is a pro-inflammatory stimulus leading to exacerbation of those lesions, including development of nodules (nodular acne) and cysts (cystic acne).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Acne is a promising therapeutic area for application of FASN inhibitors because FASN is required for sebum production, which is upregulated in acne and leads to exacerbation of acne lesions including development of nodules and cysts.</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Phase 3 Clinical Trial of Denifanstat in Acne</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January 2026, our license partner for China, Ascletis BioScience Co. Ltd. (Ascletis), a subsidiary of Ascletis Pharma Inc. (Ascletis Pharma), reported positive topline results in the open-label Phase 3 trial evaluating the long-term safety of ASC40 (denifanstat) tablets in patients with moderate to severe acne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December 2025, Ascletis announced that the China National Medical Products Administration (NMPA) accepted its New Drug Application (NDA) for denifanstat for the treatment of moderate to severe acne.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2025, Ascletis announced that denifanstat met all primary and secondary endpoints in its Phase 3 clinical trial in moderate to severe acne vulgaris in China. The Phase 3 clinical trial was a randomized, double-blind, placebo-controlled, multicenter clinical trial of 480 enrolled patients randomized 1:1 to receive denifanstat 50mg or placebo, once daily for 12 weeks.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Ascletis reported the following efficacy data from the Phase 3 clinical trial: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primary endpoints were met,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treatment success (defined as an Investigator’s Global Assessment (IGA) score of 0 (clear) or 1 (almost clear) with at least a 2-point decrease from baseline) (denifanstat 33.2% vs. placebo 14.6%,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change in total lesion count (denifanstat -57.4% vs. placebo -35.4%,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change in inflammatory lesion count (denifanstat -63.5% vs. placebo -43.2%, p&lt;0.0001).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secondary endpoints were met, including the change in non-inflammatory lesion count (denifanstat -51.9% vs. placebo -28.9%, p&lt;0.0001).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Ascletis reported that denifanstat was generally well-tolerated. Following 12 weeks of once-daily oral administration at 50mg, the incidence rates of TEAEs were comparable between denifanstat and placebo.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Planned Phase 3 Clinical Trial of Denifanstat in Acne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Building on the recent successful Phase 3 clinical trial in China of denifanstat in moderate to severe acne, we plan to advance denifanstat into a registrational Phase 3 clinical trial in moderate to severe acne patients in the United States in the second half of 2026.</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Phase 1 Clinical Trial of TVB-3567</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2025, we initiated a first-in-human Phase 1 clinical trial of our potent and selective small molecule FASN inhibitor, TVB-3567, for development of an acne indication. The Phase 1 clinical trial is a randomized double-blind placebo-controlled trial designed to evaluate the safety, tolerability, pharmacokinetics and pharmacodynamics of TVB-3567 in healthy participants with or without acne. The trial is comprised of several parts, including single ascending dose cohorts and multiple ascending dose cohorts in participants without acne, followed by testing in participants with acne including evaluation of pharmacodynamic biomarkers. Subject to consultation with regulatory authorities, and contingent on the results of the Phase 1 clinical trial, we anticipate initiating the Phase 2 clinical trial of TVB-3567 before the end of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MASH</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critical role of FASN overactivity in MASH makes it an attractive target for drug therapy. Denifanstat targets multiple drivers of MASH by reducing steatosis, inflammation and fibrosis. Denifanstat met all primary and multiple secondary endpoints in our Phase 2b FASCINATE-2 clinical trial evaluating denifanstat in 168 biopsy-confirmed MASH patients with stage F2 or F3 fibrosis compared to placebo at week 52. We completed a Phase 1 pharmacokinetic (PK) clinical trial of a combination of denifanstat and the thyroid hormone receptor beta (THR-ß) agonist, resmetirom (commercially available as Rezdiffra), in December 2025.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anticipate that the denifanstat and resmetirom combination program will be Phase 2-ready in the second half of 2026. We will undertake no further clinical development in MASH until non-dilutive financing is obtained.</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30, 2026, we announced positive 52-week results from the Phase 3 ASC40-304 open label extension (OLE) clinical trial of denifanstat in patients with moderate to severe acne vulgaris, conducted by license partner Ascletis in China. The results were presented at the European Academy of Dermatology and Venereology Congress (EADV 2026) in Vienna by Ascletis.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Phase 3 OLE clinical trial, ASC40-304, evaluated the long-term safety of denifanstat in patients with moderate to severe acne vulgaris who were previously enrolled in the 12-week randomized, double-blind, placebo-controlled Phase 3 ASC40-303 clinical trial, conducted in China by Ascletis. 240 patients rolled over into the OLE trial, for a total trial duration of up to 52 weeks. 116 of those patients had received denifanstat, and 124 patients had received placebo in the original 12-week double-blind ASC40-303 trial. Primary endpoints evaluated safety, and secondary endpoints evaluated efficacy, including reduction in IGA from baseline and reduction in total lesion count and inflammatory lesion count from baseline.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Phase 3 Open-Label Extension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baseline characteristics of the OLE cohorts were consistent with the overall study population, as shown below: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Baseline Characteristics of ASC40-304 OLE Cohorts at ASC40-303 Baseline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3910"/>
        <w:gridCol w:w="234"/>
        <w:gridCol w:w="60"/>
        <w:gridCol w:w="1199"/>
        <w:gridCol w:w="60"/>
        <w:gridCol w:w="234"/>
        <w:gridCol w:w="60"/>
        <w:gridCol w:w="1199"/>
        <w:gridCol w:w="60"/>
        <w:gridCol w:w="234"/>
        <w:gridCol w:w="60"/>
        <w:gridCol w:w="1198"/>
        <w:gridCol w:w="64"/>
      </w:tblGrid>
      <w:tr>
        <w:trPr/>
        <w:tc>
          <w:tcPr>
            <w:tcW w:w="391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Baseline Characteristics</w:t>
            </w:r>
          </w:p>
        </w:tc>
        <w:tc>
          <w:tcPr>
            <w:tcW w:w="234"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pPr>
            <w:r>
              <w:rPr>
                <w:b/>
              </w:rPr>
              <w:t>ASC40-304</w:t>
            </w:r>
            <w:r>
              <w:rPr/>
              <w:br/>
            </w:r>
            <w:r>
              <w:rPr>
                <w:b/>
              </w:rPr>
              <w:t>Denifanstat/</w:t>
            </w:r>
            <w:r>
              <w:rPr/>
              <w:br/>
            </w:r>
            <w:r>
              <w:rPr>
                <w:b/>
              </w:rPr>
              <w:t>Denifanstat</w:t>
            </w:r>
            <w:r>
              <w:rPr/>
              <w:br/>
            </w:r>
            <w:r>
              <w:rPr>
                <w:b/>
              </w:rPr>
              <w:t>(n=116)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pPr>
            <w:r>
              <w:rPr>
                <w:b/>
              </w:rPr>
              <w:t>ASC40-304</w:t>
            </w:r>
            <w:r>
              <w:rPr/>
              <w:br/>
            </w:r>
            <w:r>
              <w:rPr>
                <w:b/>
              </w:rPr>
              <w:t>Placebo/</w:t>
            </w:r>
            <w:r>
              <w:rPr/>
              <w:br/>
            </w:r>
            <w:r>
              <w:rPr>
                <w:b/>
              </w:rPr>
              <w:t>Denifanstat</w:t>
            </w:r>
            <w:r>
              <w:rPr/>
              <w:br/>
            </w:r>
            <w:r>
              <w:rPr>
                <w:b/>
              </w:rPr>
              <w:t>(n=124)</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pPr>
            <w:r>
              <w:rPr>
                <w:b/>
              </w:rPr>
              <w:t>ASC40-303</w:t>
              <w:br/>
              <w:t>Total</w:t>
            </w:r>
            <w:r>
              <w:rPr/>
              <w:br/>
            </w:r>
            <w:r>
              <w:rPr>
                <w:b/>
              </w:rPr>
              <w:t>(n=480)</w:t>
            </w:r>
          </w:p>
        </w:tc>
        <w:tc>
          <w:tcPr>
            <w:tcW w:w="64"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Age, years, mean (SD)</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22.5 (4.1)</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22.3 (3.3)</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22.6 (3.8)</w:t>
            </w:r>
          </w:p>
        </w:tc>
        <w:tc>
          <w:tcPr>
            <w:tcW w:w="64"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Male, n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31 (26.7)</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47 (37.9)</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150 (31.3)</w:t>
            </w:r>
          </w:p>
        </w:tc>
        <w:tc>
          <w:tcPr>
            <w:tcW w:w="64"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Female, n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85 (73.3)</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77 (62.1)</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330 (68.8)</w:t>
            </w:r>
          </w:p>
        </w:tc>
        <w:tc>
          <w:tcPr>
            <w:tcW w:w="64"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IGA=3 (moderate), n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101 (87.1)</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106 (85.5)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412 (85.8)</w:t>
            </w:r>
          </w:p>
        </w:tc>
        <w:tc>
          <w:tcPr>
            <w:tcW w:w="64"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IGA=4 (severe), n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15 (12.9)</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18 (14.5)</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68 (14.2)</w:t>
            </w:r>
          </w:p>
        </w:tc>
        <w:tc>
          <w:tcPr>
            <w:tcW w:w="64"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Total lesion count, mean (SD)</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102.8 (25.3)</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103.2 (24.4)</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102.1 (24.8)</w:t>
            </w:r>
          </w:p>
        </w:tc>
        <w:tc>
          <w:tcPr>
            <w:tcW w:w="64"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Inflammatory lesion count, mean (SD)</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42.0 (12.2)</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43.5 (11.8)</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42.6 (11.9)</w:t>
            </w:r>
          </w:p>
        </w:tc>
        <w:tc>
          <w:tcPr>
            <w:tcW w:w="64"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Non-Inflammatory lesion count, mean (SD)</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60.8 (19.3)</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59.7 (20.9)</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59.5 (19.9)</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Treatment success was defined as at least a 2-point reduction from baseline in Investigator’s Global Assessment (IGA) score with a score of 0 (clear) or 1 (almost clear). At the end of the trial, treatment success rates and mean percentage changes, compared to the ASC40-303 baseline, were: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2515"/>
        <w:gridCol w:w="354"/>
        <w:gridCol w:w="200"/>
        <w:gridCol w:w="1729"/>
        <w:gridCol w:w="275"/>
        <w:gridCol w:w="276"/>
        <w:gridCol w:w="188"/>
        <w:gridCol w:w="1625"/>
        <w:gridCol w:w="275"/>
        <w:gridCol w:w="276"/>
        <w:gridCol w:w="60"/>
        <w:gridCol w:w="518"/>
        <w:gridCol w:w="281"/>
      </w:tblGrid>
      <w:tr>
        <w:trPr/>
        <w:tc>
          <w:tcPr>
            <w:tcW w:w="251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Efficacy Endpoints</w:t>
            </w:r>
          </w:p>
        </w:tc>
        <w:tc>
          <w:tcPr>
            <w:tcW w:w="354" w:type="dxa"/>
            <w:tcBorders/>
            <w:vAlign w:val="bottom"/>
          </w:tcPr>
          <w:p>
            <w:pPr>
              <w:pStyle w:val="TableContents"/>
              <w:bidi w:val="0"/>
              <w:spacing w:before="0" w:after="283"/>
              <w:jc w:val="left"/>
              <w:rPr/>
            </w:pPr>
            <w:r>
              <w:rPr/>
              <w:t>  </w:t>
            </w:r>
          </w:p>
        </w:tc>
        <w:tc>
          <w:tcPr>
            <w:tcW w:w="1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Denifanstat 12wk /</w:t>
              <w:br/>
              <w:t>Denifanstat 40wk</w:t>
              <w:br/>
              <w:t>(n=116)</w:t>
            </w:r>
          </w:p>
        </w:tc>
        <w:tc>
          <w:tcPr>
            <w:tcW w:w="27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Placebo 12wk /</w:t>
              <w:br/>
              <w:t>Denifanstat 40wk</w:t>
              <w:br/>
              <w:t>(n=124)</w:t>
            </w:r>
          </w:p>
        </w:tc>
        <w:tc>
          <w:tcPr>
            <w:tcW w:w="27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(n=240)</w:t>
            </w:r>
          </w:p>
        </w:tc>
        <w:tc>
          <w:tcPr>
            <w:tcW w:w="281" w:type="dxa"/>
            <w:tcBorders/>
            <w:vAlign w:val="bottom"/>
          </w:tcPr>
          <w:p>
            <w:pPr>
              <w:pStyle w:val="TableContents"/>
              <w:bidi w:val="0"/>
              <w:spacing w:before="0" w:after="283"/>
              <w:jc w:val="left"/>
              <w:rPr/>
            </w:pPr>
            <w:r>
              <w:rPr/>
              <w:t> </w:t>
            </w:r>
          </w:p>
        </w:tc>
      </w:tr>
      <w:tr>
        <w:trPr/>
        <w:tc>
          <w:tcPr>
            <w:tcW w:w="2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Treatment success rate</w:t>
            </w:r>
          </w:p>
        </w:tc>
        <w:tc>
          <w:tcPr>
            <w:tcW w:w="35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57.8</w:t>
            </w:r>
          </w:p>
        </w:tc>
        <w:tc>
          <w:tcPr>
            <w:tcW w:w="27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right"/>
              <w:rPr/>
            </w:pPr>
            <w:r>
              <w:rPr/>
              <w:t>55.6</w:t>
            </w:r>
          </w:p>
        </w:tc>
        <w:tc>
          <w:tcPr>
            <w:tcW w:w="27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56.7</w:t>
            </w:r>
          </w:p>
        </w:tc>
        <w:tc>
          <w:tcPr>
            <w:tcW w:w="281" w:type="dxa"/>
            <w:tcBorders/>
            <w:shd w:fill="CCEEFF" w:val="clear"/>
            <w:vAlign w:val="bottom"/>
          </w:tcPr>
          <w:p>
            <w:pPr>
              <w:pStyle w:val="TableContents"/>
              <w:bidi w:val="0"/>
              <w:spacing w:before="0" w:after="283"/>
              <w:jc w:val="left"/>
              <w:rPr/>
            </w:pPr>
            <w:r>
              <w:rPr/>
              <w:t>% </w:t>
            </w:r>
          </w:p>
        </w:tc>
      </w:tr>
      <w:tr>
        <w:trPr/>
        <w:tc>
          <w:tcPr>
            <w:tcW w:w="2515" w:type="dxa"/>
            <w:tcBorders/>
          </w:tcPr>
          <w:p>
            <w:pPr>
              <w:pStyle w:val="TableContents"/>
              <w:bidi w:val="0"/>
              <w:spacing w:before="0" w:after="0"/>
              <w:jc w:val="left"/>
              <w:rPr>
                <w:rFonts w:ascii="Times New Roman" w:hAnsi="Times New Roman"/>
                <w:sz w:val="20"/>
              </w:rPr>
            </w:pPr>
            <w:r>
              <w:rPr>
                <w:rFonts w:ascii="Times New Roman" w:hAnsi="Times New Roman"/>
                <w:sz w:val="20"/>
              </w:rPr>
              <w:t>Mean % change in total lesion count</w:t>
            </w:r>
          </w:p>
        </w:tc>
        <w:tc>
          <w:tcPr>
            <w:tcW w:w="35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-73.0</w:t>
            </w:r>
          </w:p>
        </w:tc>
        <w:tc>
          <w:tcPr>
            <w:tcW w:w="27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right"/>
              <w:rPr/>
            </w:pPr>
            <w:r>
              <w:rPr/>
              <w:t>-70.7</w:t>
            </w:r>
          </w:p>
        </w:tc>
        <w:tc>
          <w:tcPr>
            <w:tcW w:w="27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-71.8</w:t>
            </w:r>
          </w:p>
        </w:tc>
        <w:tc>
          <w:tcPr>
            <w:tcW w:w="281" w:type="dxa"/>
            <w:tcBorders/>
            <w:vAlign w:val="bottom"/>
          </w:tcPr>
          <w:p>
            <w:pPr>
              <w:pStyle w:val="TableContents"/>
              <w:bidi w:val="0"/>
              <w:spacing w:before="0" w:after="283"/>
              <w:jc w:val="left"/>
              <w:rPr/>
            </w:pPr>
            <w:r>
              <w:rPr/>
              <w:t>% </w:t>
            </w:r>
          </w:p>
        </w:tc>
      </w:tr>
      <w:tr>
        <w:trPr/>
        <w:tc>
          <w:tcPr>
            <w:tcW w:w="2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Mean % change in inflammatory lesion count</w:t>
            </w:r>
          </w:p>
        </w:tc>
        <w:tc>
          <w:tcPr>
            <w:tcW w:w="354"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-78.1</w:t>
            </w:r>
          </w:p>
        </w:tc>
        <w:tc>
          <w:tcPr>
            <w:tcW w:w="27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25" w:type="dxa"/>
            <w:tcBorders/>
            <w:shd w:fill="CCEEFF" w:val="clear"/>
            <w:vAlign w:val="bottom"/>
          </w:tcPr>
          <w:p>
            <w:pPr>
              <w:pStyle w:val="TableContents"/>
              <w:bidi w:val="0"/>
              <w:spacing w:before="0" w:after="283"/>
              <w:jc w:val="right"/>
              <w:rPr/>
            </w:pPr>
            <w:r>
              <w:rPr/>
              <w:t>-75.8</w:t>
            </w:r>
          </w:p>
        </w:tc>
        <w:tc>
          <w:tcPr>
            <w:tcW w:w="27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-76.9</w:t>
            </w:r>
          </w:p>
        </w:tc>
        <w:tc>
          <w:tcPr>
            <w:tcW w:w="281" w:type="dxa"/>
            <w:tcBorders/>
            <w:shd w:fill="CCEEFF" w:val="clear"/>
            <w:vAlign w:val="bottom"/>
          </w:tcPr>
          <w:p>
            <w:pPr>
              <w:pStyle w:val="TableContents"/>
              <w:bidi w:val="0"/>
              <w:spacing w:before="0" w:after="283"/>
              <w:jc w:val="left"/>
              <w:rPr/>
            </w:pPr>
            <w:r>
              <w:rPr/>
              <w:t>% </w:t>
            </w:r>
          </w:p>
        </w:tc>
      </w:tr>
      <w:tr>
        <w:trPr/>
        <w:tc>
          <w:tcPr>
            <w:tcW w:w="2515" w:type="dxa"/>
            <w:tcBorders/>
          </w:tcPr>
          <w:p>
            <w:pPr>
              <w:pStyle w:val="TableContents"/>
              <w:bidi w:val="0"/>
              <w:spacing w:before="0" w:after="0"/>
              <w:jc w:val="left"/>
              <w:rPr>
                <w:rFonts w:ascii="Times New Roman" w:hAnsi="Times New Roman"/>
                <w:sz w:val="20"/>
              </w:rPr>
            </w:pPr>
            <w:r>
              <w:rPr>
                <w:rFonts w:ascii="Times New Roman" w:hAnsi="Times New Roman"/>
                <w:sz w:val="20"/>
              </w:rPr>
              <w:t>Mean % change in non-inflammatory lesion count</w:t>
            </w:r>
          </w:p>
        </w:tc>
        <w:tc>
          <w:tcPr>
            <w:tcW w:w="354"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-68.3</w:t>
            </w:r>
          </w:p>
        </w:tc>
        <w:tc>
          <w:tcPr>
            <w:tcW w:w="27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25" w:type="dxa"/>
            <w:tcBorders/>
            <w:vAlign w:val="bottom"/>
          </w:tcPr>
          <w:p>
            <w:pPr>
              <w:pStyle w:val="TableContents"/>
              <w:bidi w:val="0"/>
              <w:spacing w:before="0" w:after="283"/>
              <w:jc w:val="right"/>
              <w:rPr/>
            </w:pPr>
            <w:r>
              <w:rPr/>
              <w:t>-65.5</w:t>
            </w:r>
          </w:p>
        </w:tc>
        <w:tc>
          <w:tcPr>
            <w:tcW w:w="27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-66.9</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Note: Total skin lesion counts and inflammatory skin lesion counts reduced by approximately 75% and 80%, respectively, compared to ASC40-303 baseline for patients who completed the OLE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Denifanstat was generally well-tolerated in the OLE with patients receiving up to 52 weeks of exposure, with no permanent discontinuations of study drug due to adverse events and no drug-related serious adverse events among patients treated with denifanstat. Only two categories of treatment-related adverse events had an incidence of more than 5% over the 52-week period: dry skin in 7.1% and dry eye in 5.9%.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Corporate Information</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December 2006 under the name 3-V Biosciences, Inc., and changed our name to Sagimet Biosciences Inc. in August 2019. Our principal executive offices are located at 950 Tower Lane, Suite 1500, Foster City, California 94404, and our telephone number is (650) 561-8600.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www.sagimet.com. Information contained on, or that can be accessed through, our website is not incorporated by reference into this prospectus supplement and the inclusion of our website address in this prospectus supplement is only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Implications of Being an Emerging Growth Company and Smaller Reporting Company</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present only two years of audited financial statements and only two years of related Management’s Discussion and Analysis of Financial Condition and Results of Operations in our periodic reports and registration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December 31, 2028, which is the last day of our fiscal year following the fifth anniversary of the date of our initial public offering. However, if certain events occur prior to the end of such five-year period, including if we become a “large accelerated filer,” which occurs when the market value of our Series A common stock and Series B common stock that is held by non-affiliates exceeds $700 million, our annual gross revenues exceed $1.235 billion or we issue more than $1.0 billion of non-convertible debt in any three-year period, we will cease to be an emerging growth company prior to the end of such five-year period. We have elected to take advantage of these reduced disclosure obligations and may elect to take advantage of other reduced reporting requirements in future filings. As a result of these elections, the information that we provide to our stockholders may be different than you might receive from other public reporting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This provision allows an emerging growth company to delay adopting new or revised accounting standards until such time as those standards would otherwise apply to private companies. We have elected to avail ourselves of this exemption and as a result,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will not be subject to the same new or revised accounting standards as other public companies that comply with the public company effective dates.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The Offering</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Series A common stock offered by us </w:t>
            </w:r>
          </w:p>
        </w:tc>
        <w:tc>
          <w:tcPr>
            <w:tcW w:w="6329" w:type="dxa"/>
            <w:tcBorders/>
          </w:tcPr>
          <w:p>
            <w:pPr>
              <w:pStyle w:val="TableContents"/>
              <w:bidi w:val="0"/>
              <w:spacing w:before="0" w:after="283"/>
              <w:jc w:val="left"/>
              <w:rPr/>
            </w:pPr>
            <w:r>
              <w:rPr/>
              <w:t xml:space="preserve">8,750,010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Pre-Funded Warrants offered by us </w:t>
            </w:r>
          </w:p>
        </w:tc>
        <w:tc>
          <w:tcPr>
            <w:tcW w:w="6329" w:type="dxa"/>
            <w:tcBorders/>
          </w:tcPr>
          <w:p>
            <w:pPr>
              <w:pStyle w:val="TableContents"/>
              <w:bidi w:val="0"/>
              <w:spacing w:before="0" w:after="283"/>
              <w:jc w:val="left"/>
              <w:rPr/>
            </w:pPr>
            <w:r>
              <w:rPr/>
              <w:t xml:space="preserve">Pre-Funded Warrants to purchase up to 2,750,010 shares of our Series A common stock. Each Pre-Funded Warrants will have an exercise price per share of $0.0001. The purchase price of each Pre-Funded Warrants is equal to the price at which each share of Series A common stock is being sold to the public in this offering, minus $0.0001. The Pre-Funded Warrants are exercisable immediately and may be exercised at any time until all of the Pre-Funded Warrants are exercised in full. For more information, see the section titled “Description of Securities We Are Offering—Pre-Funded Warrants” on page S-19 of this prospectus supplement. This prospectus supplement also relates to the offering of the shares of Series A common stock issuable upon exercise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Series A common stock to be outstanding immediately after this offering </w:t>
            </w:r>
          </w:p>
        </w:tc>
        <w:tc>
          <w:tcPr>
            <w:tcW w:w="6328" w:type="dxa"/>
            <w:tcBorders/>
          </w:tcPr>
          <w:p>
            <w:pPr>
              <w:pStyle w:val="TableContents"/>
              <w:bidi w:val="0"/>
              <w:spacing w:before="0" w:after="283"/>
              <w:jc w:val="left"/>
              <w:rPr/>
            </w:pPr>
            <w:r>
              <w:rPr/>
              <w:t xml:space="preserve">69,965,450 shares (assuming none of the Pre-Funded Warrants issued in this offering are exercised).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Series B common stock to be outstanding immediately after this offering </w:t>
            </w:r>
          </w:p>
        </w:tc>
        <w:tc>
          <w:tcPr>
            <w:tcW w:w="6328" w:type="dxa"/>
            <w:tcBorders/>
          </w:tcPr>
          <w:p>
            <w:pPr>
              <w:pStyle w:val="TableContents"/>
              <w:bidi w:val="0"/>
              <w:spacing w:before="0" w:after="283"/>
              <w:jc w:val="left"/>
              <w:rPr/>
            </w:pPr>
            <w:r>
              <w:rPr/>
              <w:t xml:space="preserve">567,494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Total Series A and Series B common stock to be outstanding immediately after this offering </w:t>
            </w:r>
          </w:p>
        </w:tc>
        <w:tc>
          <w:tcPr>
            <w:tcW w:w="6328" w:type="dxa"/>
            <w:tcBorders/>
          </w:tcPr>
          <w:p>
            <w:pPr>
              <w:pStyle w:val="TableContents"/>
              <w:bidi w:val="0"/>
              <w:spacing w:before="0" w:after="283"/>
              <w:jc w:val="left"/>
              <w:rPr/>
            </w:pPr>
            <w:r>
              <w:rPr/>
              <w:t xml:space="preserve">70,532,944 shares (assuming none of the Pre-Funded Warrants issued in this offering are exercised).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the net proceeds from the sale of our Series A common stock in this offering will be approximately $107.5 million after deducting underwriting discounts and commissions and estimated offering expenses payable by us. We currently intend to use the net proceeds from this offering, together with our existing cash, cash equivalents and marketable securities, to fund a Phase 3 clinical trial for denifanstat in acne, pre-launch activities for denifanstat, TVB-3567 through Phase 2 topline results, advancement of our topical formulation FASN inhibitor program to IND submission and for general corporate purposes, including additional clinical development, working capital and operating expenses. See “Use of Proceeds” beginning on page S-15 of this prospectus supplement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rights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two classes of common stock: Series A common stock and Series B common stock. The rights of the holders of Series A common stock and Series B common stock are identical, except with respect to voting and conversion. Each share of Series A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stock is entitled to one vote and shares of Series B common stock are non-voting, except as may be required by law. Each share of Series B common stock may be converted into one share of Series A common stock at the option of its holder, subject to the ownership limitations provided for in our amended and restated certificate of incorporation. See the section titled “Description of Capital Stock”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See “Risk Factors” beginning on page S-9 of this prospectus supplement for a discussion of factors you should carefully consider before deciding whether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Market listing. </w:t>
            </w:r>
          </w:p>
        </w:tc>
        <w:tc>
          <w:tcPr>
            <w:tcW w:w="6330" w:type="dxa"/>
            <w:tcBorders/>
          </w:tcPr>
          <w:p>
            <w:pPr>
              <w:pStyle w:val="TableContents"/>
              <w:bidi w:val="0"/>
              <w:spacing w:before="0" w:after="283"/>
              <w:jc w:val="left"/>
              <w:rPr/>
            </w:pPr>
            <w:r>
              <w:rPr/>
              <w:t>“</w:t>
            </w:r>
            <w:r>
              <w:rPr/>
              <w:t xml:space="preserve">SGMT.” There is no established public trading market for the Pre-Funded Warrants and we do not expect a market to develop. In addition, we do not intend to apply for listing of the Pre-Funded Warrants on any securities exchange or recognized trading system.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Series A common stock and Series B common stock to be outstanding after this offering is based on 61,215,440 shares of Series A common stock and 567,494 shares of Series B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7,570,930 shares of Series A common stock issuable upon exercise of outstanding options under our 2017 Equity Incentive Plan (2017 Plan), our 2023 Stock Option and Incentive Plan (2023 Plan) and our established pool of shares of Series A common stock from which grants of stock-based compensation awards may be issued as inducement for new employees to accept employment offers from us (the Inducement Pool) as of June 30, 2026, with a weighted-average exercise price of $6.17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1,127,109 shares of Series A common stock issuable upon the vesting and settlement of restricted stock units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141,151 shares of Series A common stock reserved and available for future issuance as of June 30, 2026 under our 2023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677,558 shares of Series A common stock reserved and available for future issuance as of June 30, 2026 under our Inducement Pool;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844,174 shares of Series A common stock reserved and available for issuance as of June 30, 2026 under our Amended and Restated 2023 Employee Stock Purchase Plan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616,800 shares of Series A common stock issuable upon the vesting and settlement of performance-based restricted stock units outstanding as of June 30,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entered into a Sales Agreement on August 14, 2025 with Leerink Partners LLC to establish an at-the-market offering program (ATM Program) through which we may sell, from time to time at our sole discretion, shares of our Series A common stock. On September 30, 2026, we terminated the prospectus supplement relating to the ATM Program. The Sales Agreement remains in full force and effect. No sales have been made under the ATM Program.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the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outstanding stock options and no vesting or settlement of the outstanding restricted stock units or performance-based restricted stock units summarized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Pre-Funded Warrants offered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oc68394_3"/>
      <w:bookmarkEnd w:id="5"/>
      <w:r>
        <w:rPr>
          <w:rFonts w:ascii="Times New Roman" w:hAnsi="Times New Roman"/>
          <w:b/>
          <w:sz w:val="20"/>
        </w:rPr>
        <w:t>RISK FACTORS</w:t>
      </w:r>
    </w:p>
    <w:p>
      <w:pPr>
        <w:pStyle w:val="TextBody"/>
        <w:bidi w:val="0"/>
        <w:spacing w:before="240" w:after="0"/>
        <w:jc w:val="left"/>
        <w:rPr>
          <w:rFonts w:ascii="Times New Roman" w:hAnsi="Times New Roman"/>
          <w:i/>
          <w:sz w:val="20"/>
        </w:rPr>
      </w:pPr>
      <w:r>
        <w:rPr>
          <w:rFonts w:ascii="Times New Roman" w:hAnsi="Times New Roman"/>
          <w:i/>
          <w:sz w:val="20"/>
        </w:rPr>
        <w:t>Investing in our Series A common stock involves a high degree of risk. Our business, financial condition and results of operations could be materially and adversely affected by any of these risks. If any of these risks occur, the value of our Series A common stock or Pre-Funded Warrants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w:t>
      </w:r>
    </w:p>
    <w:p>
      <w:pPr>
        <w:pStyle w:val="TextBody"/>
        <w:bidi w:val="0"/>
        <w:spacing w:before="360" w:after="0"/>
        <w:jc w:val="left"/>
        <w:rPr>
          <w:rFonts w:ascii="Times New Roman" w:hAnsi="Times New Roman"/>
          <w:b/>
          <w:sz w:val="20"/>
        </w:rPr>
      </w:pPr>
      <w:r>
        <w:rPr>
          <w:rFonts w:ascii="Times New Roman" w:hAnsi="Times New Roman"/>
          <w:b/>
          <w:sz w:val="20"/>
        </w:rPr>
        <w:t>Risks related to our Series A common stock and this offering</w:t>
      </w:r>
    </w:p>
    <w:p>
      <w:pPr>
        <w:pStyle w:val="TextBody"/>
        <w:bidi w:val="0"/>
        <w:spacing w:before="120" w:after="0"/>
        <w:jc w:val="left"/>
        <w:rPr>
          <w:rFonts w:ascii="Times New Roman" w:hAnsi="Times New Roman"/>
          <w:b/>
          <w:i/>
          <w:sz w:val="20"/>
        </w:rPr>
      </w:pPr>
      <w:r>
        <w:rPr>
          <w:rFonts w:ascii="Times New Roman" w:hAnsi="Times New Roman"/>
          <w:b/>
          <w:i/>
          <w:sz w:val="20"/>
        </w:rPr>
        <w:t>If you purchase securities in this offering, you will experience immediate and substantial dilution and may experience additional dilution in the future.</w:t>
      </w:r>
    </w:p>
    <w:p>
      <w:pPr>
        <w:pStyle w:val="TextBody"/>
        <w:bidi w:val="0"/>
        <w:spacing w:before="120" w:after="0"/>
        <w:jc w:val="left"/>
        <w:rPr>
          <w:rFonts w:ascii="Times New Roman" w:hAnsi="Times New Roman"/>
          <w:sz w:val="20"/>
        </w:rPr>
      </w:pPr>
      <w:r>
        <w:rPr>
          <w:rFonts w:ascii="Times New Roman" w:hAnsi="Times New Roman"/>
          <w:sz w:val="20"/>
        </w:rPr>
        <w:t xml:space="preserve">Investors in this offering will pay a price per share of Series A common stock (or Pre-Funded Warrant) that substantially exceeds the as adjusted net tangible book value per share. As a result, investors in this offering will incur immediate dilution of $4.87 per share, representing the difference between the offering price of $10.00 and our as adjusted net tangible book value as of June 30, 2026 (but without giving effect to the exercise of the Pre-Funded Warrants being offered in this offering). Additionally, to the extent outstanding options to purchase shares of our Series A common stock are exercised, new investors may incur further dilution. For more information on the dilution you may suffer as a result of investing in this offering, see “Dilution”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expect that significant additional capital may be needed in the future to continue our planned operations, including further development of our drug candidates, conducting clinical trials, commercialization efforts and expanded research and development activities. To raise capital, we may sell Series A common stock, convertible securities or other equity securities in one or more transactions at prices and in a manner we determine from time to time. If we sell Series A common stock, convertible securities or other equity securities, investors may be materially diluted by subsequent sales. Such sales may also result in material dilution to our existing stockholders, and new investors could gain rights, preferences and privileges senior to the investors participating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the Pre-Funded Warrants being offered by us in this offering. </w:t>
      </w:r>
    </w:p>
    <w:p>
      <w:pPr>
        <w:pStyle w:val="TextBody"/>
        <w:bidi w:val="0"/>
        <w:spacing w:before="120" w:after="0"/>
        <w:jc w:val="left"/>
        <w:rPr>
          <w:rFonts w:ascii="Times New Roman" w:hAnsi="Times New Roman"/>
          <w:sz w:val="20"/>
        </w:rPr>
      </w:pPr>
      <w:r>
        <w:rPr>
          <w:rFonts w:ascii="Times New Roman" w:hAnsi="Times New Roman"/>
          <w:sz w:val="20"/>
        </w:rPr>
        <w:t xml:space="preserve">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Pre-Funded Warrants will have no rights as common stockholders until they acquire shares of Series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Until holders of Pre-Funded Warrants acquire shares of Series A common stock upon exercise of the Pre-Funded Warrants, such holders will have no rights with respect to our Series A common stock issuable upon exercise of the Pre-Funded Warrants, including the right to vote or respond to tender offers. Upon exercise of the Pre-Funded Warrants, holders will be entitled to exercise the rights of a common stockholder only as to matters for which the record date occurs after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not receive significant additional funds upon the exercise of the Pre-Funded Warrants being offered. </w:t>
      </w:r>
    </w:p>
    <w:p>
      <w:pPr>
        <w:pStyle w:val="TextBody"/>
        <w:bidi w:val="0"/>
        <w:spacing w:before="120" w:after="0"/>
        <w:jc w:val="left"/>
        <w:rPr>
          <w:rFonts w:ascii="Times New Roman" w:hAnsi="Times New Roman"/>
          <w:sz w:val="20"/>
        </w:rPr>
      </w:pPr>
      <w:r>
        <w:rPr>
          <w:rFonts w:ascii="Times New Roman" w:hAnsi="Times New Roman"/>
          <w:sz w:val="20"/>
        </w:rPr>
        <w:t xml:space="preserve">In certain limited circumstances, 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cashless exercise of the Pre-Funded Warrant or if the Pre-Funded Warrants altogether are not exercised at all. In addition, the Pre-Funded Warrants have an exercise price of $0.0001 per share of our Series A common stock, and as a result we will not receive significant additional funds upon their exercise even if not a cashless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holders or beneficial holders of our Series A common stock may not be permitted to exercise Pre-Funded Warrants that they hold.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Pre-Funded Warrants will not be entitled to exercise any portion of any Pre-Funded Warrants which, upon giving effect to such exercise, would cause the aggregate number of shares of our common stock beneficially owned by the holder (together with its affiliates) to exceed a specified percentage of the number of shares of our Series A common stock outstanding immediately after giving effect to the exercise, as such percentage ownership is determined in accordance with the terms of the Pre-Funded Warrants. As a result, you may not be able to exercise your Pre-Funded Warrants for shares of our Series A common stock at a time when it would be financially beneficial for you to do so. In such circumstance you could seek to sell your Pre-Funded Warrants to realize value, but you may be unable to do so in the absence of an established trading market for the Pre-Funded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maintain a current and effective registration statement relating to the shares of Series A common stock issuable upon exercise of the Pre-Funded Warrants, holders will only be able to exercise such Pre-Funded Warrants on a “cashless basis.” </w:t>
      </w:r>
    </w:p>
    <w:p>
      <w:pPr>
        <w:pStyle w:val="TextBody"/>
        <w:bidi w:val="0"/>
        <w:spacing w:before="120" w:after="0"/>
        <w:jc w:val="left"/>
        <w:rPr>
          <w:rFonts w:ascii="Times New Roman" w:hAnsi="Times New Roman"/>
          <w:sz w:val="20"/>
        </w:rPr>
      </w:pPr>
      <w:r>
        <w:rPr>
          <w:rFonts w:ascii="Times New Roman" w:hAnsi="Times New Roman"/>
          <w:sz w:val="20"/>
        </w:rPr>
        <w:t xml:space="preserve">If we do not maintain a current and effective registration statement relating to the shares of Series A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Series A common stock that holders will receive upon exercise of the Pre-Funded Warrants will be fewer than it would have been had such holder exercised his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Series A common stock issuable upon exercise of the Pre-Funded Warrants is available. </w:t>
      </w:r>
    </w:p>
    <w:p>
      <w:pPr>
        <w:pStyle w:val="TextBody"/>
        <w:bidi w:val="0"/>
        <w:spacing w:before="360" w:after="0"/>
        <w:jc w:val="left"/>
        <w:rPr>
          <w:rFonts w:ascii="Times New Roman" w:hAnsi="Times New Roman"/>
          <w:b/>
          <w:i/>
          <w:sz w:val="20"/>
        </w:rPr>
      </w:pPr>
      <w:r>
        <w:rPr>
          <w:rFonts w:ascii="Times New Roman" w:hAnsi="Times New Roman"/>
          <w:b/>
          <w:i/>
          <w:sz w:val="20"/>
        </w:rPr>
        <w:t>We may allocate the net proceeds from this offering in ways that you and other stockholders may not approve.</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in this prospectus supplement.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If we do not invest or apply the net proceeds from this offering in ways that enhance stockholder value, we may fail to achieve expected results, which could cause our Series A common stock price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Future sales of shares of our Series A common stock, including any shares issuable upon exercise of any Pre-Funded Warrants, in the public market, or the perception that such sales could occur, could cause our stock price to fall.</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Series A common stock, including any shares issuable upon exercise of any Pre-Funded Warrants, or other equity-related securities in the public market, or the perception in the market that such sales could occur, could reduce the market price of our Series A common stock and impair our ability to raise capital through the sale of additional equity securities. In August 2025, we entered into a Sales Agreement with Leerink Partners LLC to establish an ATM Program through which we may sell, from time to time at our sole discretion, shares of our Series A common stock. On September 30, 2026, we terminated the prospectus supplement relating to the ATM Program. The Sales Agreement remains in full force and effect. No sales have been made under the ATM Program. No prediction can be made as to the effect, if any, that future sales of Series A common stock, including any shares issuable upon exercise of any Pre-Funded Warrants, or other equity securities or the availability of Series A common stock for future sales will have on the trading price of our Series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and our directors and executive officers have agreed that for a period of 45 days following the date of this prospectus supplement, subject to certain exceptions, we or they will not sell, dispose of or hedge any shares of our Series A common stock or securities convertible into or exchangeable or exercisable for any shares of our Series A common stock without the prior written consent of Leerink Partners LLC and TD Securities (USA) LLC. See the section titled “Underwriting” in this prospectus supplement for a more complete description of the lock-up agreements with the underwriters. Sales of a substantial number of such shares upon expiration of the lock-up agreements, the perception that such sales may occur, or early release of these agreements, could cause our market price to fall or make it more difficult for you to sell your Series A common stock at a time and price that you deem appropriate. </w:t>
      </w:r>
    </w:p>
    <w:p>
      <w:pPr>
        <w:pStyle w:val="TextBody"/>
        <w:bidi w:val="0"/>
        <w:spacing w:before="360" w:after="0"/>
        <w:jc w:val="left"/>
        <w:rPr>
          <w:rFonts w:ascii="Times New Roman" w:hAnsi="Times New Roman"/>
          <w:b/>
          <w:i/>
          <w:sz w:val="20"/>
        </w:rPr>
      </w:pPr>
      <w:r>
        <w:rPr>
          <w:rFonts w:ascii="Times New Roman" w:hAnsi="Times New Roman"/>
          <w:b/>
          <w:i/>
          <w:sz w:val="20"/>
        </w:rPr>
        <w:t>Because we do not anticipate paying any cash dividends on our capital stock in the foreseeable future, capital appreciation, if any, will be the sole source of gain for our stockholders.</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capital stock. We currently intend to retain all of our future earnings, if any, to finance the growth and development of our business. As a result, capital appreciation, if any, of our Series A common stock will be the sole source of gain for our stockholders in the foreseeable future. Any return to stockholders will therefore be limited to the appreciation of their stock. There is no guarantee our Series A common stock will appreciate in value or even maintain the price at which stockholders have purchased their shares. </w:t>
      </w:r>
    </w:p>
    <w:p>
      <w:pPr>
        <w:pStyle w:val="TextBody"/>
        <w:bidi w:val="0"/>
        <w:spacing w:before="360" w:after="0"/>
        <w:jc w:val="left"/>
        <w:rPr>
          <w:rFonts w:ascii="Times New Roman" w:hAnsi="Times New Roman"/>
          <w:b/>
          <w:i/>
          <w:sz w:val="20"/>
        </w:rPr>
      </w:pPr>
      <w:r>
        <w:rPr>
          <w:rFonts w:ascii="Times New Roman" w:hAnsi="Times New Roman"/>
          <w:b/>
          <w:i/>
          <w:sz w:val="20"/>
        </w:rPr>
        <w:t>Our stock price has been and may continue to be volatile, and purchasers of our Series A common stock could incur substantial losses.</w:t>
      </w:r>
    </w:p>
    <w:p>
      <w:pPr>
        <w:pStyle w:val="TextBody"/>
        <w:bidi w:val="0"/>
        <w:spacing w:before="120" w:after="0"/>
        <w:jc w:val="left"/>
        <w:rPr>
          <w:rFonts w:ascii="Times New Roman" w:hAnsi="Times New Roman"/>
          <w:sz w:val="20"/>
        </w:rPr>
      </w:pPr>
      <w:r>
        <w:rPr>
          <w:rFonts w:ascii="Times New Roman" w:hAnsi="Times New Roman"/>
          <w:sz w:val="20"/>
        </w:rPr>
        <w:t xml:space="preserve">Our stock price has been and is likely to continue to be volatile. The market price for our Series A common stock may be influenced by various factors, many of which are beyond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denifanstat or potential future drug candidates through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preclinical studies and clinical trials of denifanstat or potential future drug candidates, or those of our competitors or potential collaborative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other countries, especially changes in laws or regulations applicable to our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introductions and announcements of new products by us, our future commercialization partners, or our competitors, and the timing of these introductions or announcements;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authorities with respect to our drug candidates, potential products, clinical trials,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our financial results or those of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our efforts to acquire or in-license additional technologies, products or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concerning any future collaborations, including, but not limited to, those with our sources of manufacturing supply and our commercialization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biopharmaceutical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supply or distribution delays or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acquisitions, strategic partnerships, joint ventures, financing efforts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patents or other proprietary rights, including patents, litigation matters and our ability to obtain patent protection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or inability to raise additional capital and the terms on which we raise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earnings estimates or changes in securities analyst recommendations regarding our Series A common stock, other comparable companies or our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or the failure of our competitors to meet analysts’ projections or guidance that we or our competitors may give to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valuation of companies perceived by investors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Series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Series A common stock by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concentrated ownership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conditions, including volatility in the credit and financial markets and inflationary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terrorist acts, acts of war or periods of widespread civil unrest, including Russia’s invasion of Ukraine and the conflict in the Middle East;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including earthquakes, and other calamities;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Series A common stock, regardless of our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68394_4"/>
      <w:bookmarkEnd w:id="6"/>
      <w:r>
        <w:rPr>
          <w:rFonts w:ascii="Times New Roman" w:hAnsi="Times New Roman"/>
          <w:b/>
          <w:sz w:val="20"/>
        </w:rPr>
        <w:t>SPECIAL NOTE REGARDING FORWARD-LOOKING STATEMENTS</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supplement, the accompanying prospectus and the documents incorporated herein by reference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cash and the sufficiency of our existing cash, cash equivalents and marketable securities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developing denifanstat, TVB-3567 or any other drug candidates or combination therapies we may develop, and conducting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drug candidates into, and successfully complete, clinical trials within anticipated timelines;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costs involved in obtaining and maintaining regulatory approval of denifanstat, TVB-3567 or any other drug candidates or combination therapies we may develop, and the timing or likelihood of regulatory filings and approvals, including our expectation to seek special designations or accelerated approvals for our drug candidates for various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and future agreements with third parties in connection with the development and commercialization of denifanstat, TVB-3567 or any other future drug candidate or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 of the number of patients in the United States who suffer from the diseases we target and the number of subjects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 with Ascletis BioScience Co. Ltd. (Ascletis), and its affiliate Gannex Pharma Co., Ltd. (Gannex), and the success of their development and registration efforts for denifanstat in China;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the safety and efficacy of denifanstat, TVB-3567 and any other drug candidates or combination therapies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denifanstat, TVB-3567 and any other drug candidates or combination therapies we may develop, if approved, including the geographic areas of focus and our ability to build a commercial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competing drug candidates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denifanstat, TVB-3567 and any other drug candidates or combination therapies we may develop, including additional indications that we may pursue for denifanstat, TVB-3567 or other drug candidates or combination therapies;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sufficient non-dilutive funding or enter into a strategic collaboration to initiate future clinical trials for our combination of denifanstat and resmetirom in metabolic dysfunction-associated steatohepatitis (MASH), formerly known as nonalcoholic steatohepatitis (NASH);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and ability to successfully manufacture and supply denifanstat, TVB-3567 and any other drug candidates or combination therapies we may develop for clinical trials and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denifanstat, TVB-3567 and any other drug candidates or combination therapies we may develop, as well as the pricing and reimbursement of denifanstat, TVB-3567 and any other drug candidates or combination therapies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maintain, protect and enforce intellectual property protection for denifanstat, TVB-3567 and for any other future drug candidate or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anticipated benefits of any strategic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the continued service of our key personnel and to identify, hire, and then retain additional qualified personnel and our ability to attract additional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macroeconomic conditions and geopolitical turmoil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will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marketable securities, and the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 and any related free writing prospectus, and under similar headings in the other documents that are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68394_5"/>
      <w:bookmarkEnd w:id="7"/>
      <w:r>
        <w:rPr>
          <w:rFonts w:ascii="Times New Roman" w:hAnsi="Times New Roman"/>
          <w:b/>
          <w:sz w:val="20"/>
        </w:rPr>
        <w:t>USE OF PROCEEDS</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the sale of the shares of Series A common stock or Pre-Funded Warrants to purchase shares of Series A common stock in this offering, excluding the proceeds, if any, from the exercise of the Pre-Funded Warrants offered hereby, will be approximately $107.5 million after deducting underwriting discounts and commissions and estimated offering expenses payable by us. We cannot predict when or if the Pre-Funded Warrants will be exercised. In addition, the Pre-Funded Warrants have an exercise price of $0.0001 per share of our Series A common stock, and as a result we will not receive significant additional funds upon their exercise.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together with our existing cash, cash equivalents and marketable securities, to fund a Phase 3 clinical trial for denifanstat in acne, pre-launch activities for denifanstat, TVB-3567 through Phase 2 topline results, advancement of our topical formulation FASN inhibitor program to IND submission and for general corporate purposes, including additional clinical development, working capital and operating expenses. </w:t>
      </w:r>
    </w:p>
    <w:p>
      <w:pPr>
        <w:pStyle w:val="TextBody"/>
        <w:bidi w:val="0"/>
        <w:spacing w:before="240" w:after="0"/>
        <w:jc w:val="left"/>
        <w:rPr>
          <w:rFonts w:ascii="Times New Roman" w:hAnsi="Times New Roman"/>
          <w:sz w:val="20"/>
        </w:rPr>
      </w:pPr>
      <w:r>
        <w:rPr>
          <w:rFonts w:ascii="Times New Roman" w:hAnsi="Times New Roman"/>
          <w:sz w:val="20"/>
        </w:rPr>
        <w:t xml:space="preserve">Our expected use of the net proceeds from this offering represents our intentions based upon our current plans and business conditions.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may also use a portion of the remaining net proceeds and our existing cash, cash equivalents and marketable securities to in-license, acquire, or invest in complementary businesses, technologies, products or assets. However, we have no current commitments or obligations to do so.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actual expenditures will depend on numerous factors, including the time and cost necessary to conduct our planned clinical trials, the results of our planned clinical trials and other factors described in the section titled “Risk Factors” in this prospectus supplement and the accompanying prospectus, including the information incorporated by reference herein and therein, as well as the amount of cash used in our operations and any unforeseen cash needs. Therefore, our actual expenditures may differ materially from the estimates described above. We may find it necessary or advisable to use the net proceeds for other purposes, and we will have broad discretion in the application of the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68394_6"/>
      <w:bookmarkEnd w:id="8"/>
      <w:r>
        <w:rPr>
          <w:rFonts w:ascii="Times New Roman" w:hAnsi="Times New Roman"/>
          <w:b/>
          <w:sz w:val="20"/>
        </w:rPr>
        <w:t>DIVIDEND POLICY</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68394_7"/>
      <w:bookmarkEnd w:id="9"/>
      <w:r>
        <w:rPr>
          <w:rFonts w:ascii="Times New Roman" w:hAnsi="Times New Roman"/>
          <w:b/>
          <w:sz w:val="20"/>
        </w:rPr>
        <w:t>DILUTION</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this offering, your ownership interest will be diluted to the extent of the difference between the offering price per share of our Series A common stock or Pre-Funded Warrant and the as adjusted net tangible book value per share of our Series A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as of June 30, 2026 was $254.2 million, or $4.11 per share of our common stock. Our historical net tangible book value per share represents historical net tangible book value divided by the number of shares of Series A and Series B common stock outstanding as of June 30, 2026. After giving effect to the issuance and sale of 8,750,010 shares of our Series A common stock in this offering at the offering price of $10.00 and Pre-Funded Warrants to purchase 2,750,010 shares of Series A common stock at the offering price minus $0.0001 (and excluding, the shares of Series A common stock to be issued and the proceeds received, if any, from exercises of the Pre-Funded Warrants) and after deducting the underwriting discounts and commissions and estimated offering expenses payable by us, our as adjusted net tangible book value as of June 30, 2026 would have been approximately $361.7 million, or $5.13 per share. This amount represents an immediate increase in our net tangible book value of $1.02 per share to our existing stockholders and an immediate dilution in net tangible book value of $4.87 per share to new investors purchasing securities in this offering. The following table illustrates this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79"/>
        <w:gridCol w:w="241"/>
        <w:gridCol w:w="140"/>
        <w:gridCol w:w="441"/>
        <w:gridCol w:w="60"/>
        <w:gridCol w:w="241"/>
        <w:gridCol w:w="140"/>
        <w:gridCol w:w="600"/>
        <w:gridCol w:w="63"/>
      </w:tblGrid>
      <w:tr>
        <w:trPr/>
        <w:tc>
          <w:tcPr>
            <w:tcW w:w="8279"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 of Series A common stock (or Pre-Funded Warrant)</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0" w:type="dxa"/>
            <w:tcBorders/>
            <w:shd w:fill="CCEEFF" w:val="clear"/>
            <w:vAlign w:val="bottom"/>
          </w:tcPr>
          <w:p>
            <w:pPr>
              <w:pStyle w:val="TableContents"/>
              <w:bidi w:val="0"/>
              <w:spacing w:before="0" w:after="283"/>
              <w:jc w:val="right"/>
              <w:rPr/>
            </w:pPr>
            <w:r>
              <w:rPr/>
              <w:t>10.00</w:t>
            </w:r>
          </w:p>
        </w:tc>
        <w:tc>
          <w:tcPr>
            <w:tcW w:w="63" w:type="dxa"/>
            <w:tcBorders/>
            <w:shd w:fill="CCEEFF" w:val="clear"/>
            <w:vAlign w:val="bottom"/>
          </w:tcPr>
          <w:p>
            <w:pPr>
              <w:pStyle w:val="TableContents"/>
              <w:bidi w:val="0"/>
              <w:spacing w:before="0" w:after="283"/>
              <w:jc w:val="left"/>
              <w:rPr/>
            </w:pPr>
            <w:r>
              <w:rPr/>
              <w:t> </w:t>
            </w:r>
          </w:p>
        </w:tc>
      </w:tr>
      <w:tr>
        <w:trPr/>
        <w:tc>
          <w:tcPr>
            <w:tcW w:w="8279"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1" w:type="dxa"/>
            <w:tcBorders/>
            <w:vAlign w:val="bottom"/>
          </w:tcPr>
          <w:p>
            <w:pPr>
              <w:pStyle w:val="TableContents"/>
              <w:bidi w:val="0"/>
              <w:spacing w:before="0" w:after="283"/>
              <w:jc w:val="right"/>
              <w:rPr/>
            </w:pPr>
            <w:r>
              <w:rPr/>
              <w:t>4.11</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as of June 30, 2026 attributable to investors purchasing shares in this offering</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1.02</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27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279"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5.13</w:t>
            </w:r>
          </w:p>
        </w:tc>
        <w:tc>
          <w:tcPr>
            <w:tcW w:w="63" w:type="dxa"/>
            <w:tcBorders/>
            <w:vAlign w:val="bottom"/>
          </w:tcPr>
          <w:p>
            <w:pPr>
              <w:pStyle w:val="TableContents"/>
              <w:bidi w:val="0"/>
              <w:spacing w:before="0" w:after="283"/>
              <w:jc w:val="left"/>
              <w:rPr/>
            </w:pPr>
            <w:r>
              <w:rPr/>
              <w:t> </w:t>
            </w:r>
          </w:p>
        </w:tc>
      </w:tr>
      <w:tr>
        <w:trPr/>
        <w:tc>
          <w:tcPr>
            <w:tcW w:w="827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0" w:type="dxa"/>
            <w:tcBorders/>
            <w:shd w:fill="CCEEFF" w:val="clear"/>
            <w:vAlign w:val="bottom"/>
          </w:tcPr>
          <w:p>
            <w:pPr>
              <w:pStyle w:val="TableContents"/>
              <w:bidi w:val="0"/>
              <w:spacing w:before="0" w:after="283"/>
              <w:jc w:val="right"/>
              <w:rPr/>
            </w:pPr>
            <w:r>
              <w:rPr/>
              <w:t>4.87</w:t>
            </w:r>
          </w:p>
        </w:tc>
        <w:tc>
          <w:tcPr>
            <w:tcW w:w="63" w:type="dxa"/>
            <w:tcBorders/>
            <w:shd w:fill="CCEEFF" w:val="clear"/>
            <w:vAlign w:val="bottom"/>
          </w:tcPr>
          <w:p>
            <w:pPr>
              <w:pStyle w:val="TableContents"/>
              <w:bidi w:val="0"/>
              <w:spacing w:before="0" w:after="283"/>
              <w:jc w:val="left"/>
              <w:rPr/>
            </w:pPr>
            <w:r>
              <w:rPr/>
              <w:t> </w:t>
            </w:r>
          </w:p>
        </w:tc>
      </w:tr>
      <w:tr>
        <w:trPr/>
        <w:tc>
          <w:tcPr>
            <w:tcW w:w="8279"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holders of Pre-Funded Warrants exercise the Pre-Funded Warrants offered hereby, the as adjusted net tangible book value per share of our common stock after giving effect to this offering would be $4.94 per share, and the dilution in net tangible book value per share to investors purchasing common stock in this offering would be $5.06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(other than the historical net tangible book value calculation) are based on 61,215,440 shares of Series A common stock and 567,494 shares of Series B common stock outstanding as of June 30, 2026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7,570,930 shares of Series A common stock issuable upon exercise of outstanding options under our 2017 Plan, 2023 Plan and Inducement Pool as of June 30, 2026, with a weighted-average exercise price of $6.17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1,127,109 shares of Series A common stock issuable upon the vesting and settlement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141,151 shares of Series A common stock reserved and available for future issuance as of June 30, 2026 under our 2023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677,558 shares of Series A common stock reserved and available for future issuance as of June 30, 2026 under our Inducement Pool;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844,174 shares of Series A common stock reserved and available for issuance as of June 30, 2026 under our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616,800 shares of Series A common stock issuable upon the vesting and settlement of performance-based restricted stock units outstanding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entered into a Sales Agreement on August 14, 2025 with Leerink Partners LLC to establish an ATM Program through which we may sell, from time to time at our sole discretion, shares of our Series A common stock. On September 30, 2026, we terminated the prospectus supplement relating to the ATM Program. The Sales Agreement remains in full force and effect. No sales have been made under the ATM Program.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outstanding options are exercised, restricted stock units or performance-based restricted stock units are vested and settled, new options or other equity awards are issued under our equity incentive plans, or we issue additional equity or convertible debt securities in the future, there will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68394_8"/>
      <w:bookmarkEnd w:id="10"/>
      <w:r>
        <w:rPr>
          <w:rFonts w:ascii="Times New Roman" w:hAnsi="Times New Roman"/>
          <w:b/>
          <w:sz w:val="20"/>
        </w:rPr>
        <w:t>DESCRIPTION OF SECURITIES WE ARE OFFERING</w:t>
      </w:r>
    </w:p>
    <w:p>
      <w:pPr>
        <w:pStyle w:val="TextBody"/>
        <w:bidi w:val="0"/>
        <w:spacing w:before="240" w:after="0"/>
        <w:jc w:val="left"/>
        <w:rPr>
          <w:rFonts w:ascii="Times New Roman" w:hAnsi="Times New Roman"/>
          <w:b/>
          <w:sz w:val="20"/>
        </w:rPr>
      </w:pPr>
      <w:r>
        <w:rPr>
          <w:rFonts w:ascii="Times New Roman" w:hAnsi="Times New Roman"/>
          <w:b/>
          <w:sz w:val="20"/>
        </w:rPr>
        <w:t>Series A Common Stock</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shares of our Series A common stock in this offering. See “Description of Capital Stock” in the accompanying prospectus for more information regarding our shares of Series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attributes and characteristics of the Pre-Funded Warrants. The form of Pre-Funded Warrant will be provided to the Pre-Funded Warrant purchasers in this offering and will be filed as an exhibit to a Current Report on Form 8-K in connection with this offering and incorporated by reference into the registration statement of which this prospectus supplement forms a part. The following summary is subject in all respects to the provisions contained in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will be issued in certificated form only. </w:t>
      </w:r>
    </w:p>
    <w:p>
      <w:pPr>
        <w:pStyle w:val="TextBody"/>
        <w:bidi w:val="0"/>
        <w:spacing w:before="240" w:after="0"/>
        <w:jc w:val="left"/>
        <w:rPr>
          <w:rFonts w:ascii="Times New Roman" w:hAnsi="Times New Roman"/>
          <w:sz w:val="20"/>
        </w:rPr>
      </w:pPr>
      <w:r>
        <w:rPr>
          <w:rFonts w:ascii="Times New Roman" w:hAnsi="Times New Roman"/>
          <w:i/>
          <w:sz w:val="20"/>
        </w:rPr>
        <w:t>Exercisability</w:t>
      </w:r>
      <w:r>
        <w:rPr>
          <w:rFonts w:ascii="Times New Roman" w:hAnsi="Times New Roman"/>
          <w:sz w:val="20"/>
        </w:rPr>
        <w:t xml:space="preserve">. The Pre-Funded Warrants will be immediately exercisable, at the option of each holder, in whole or in part by delivering to us a duly executed exercise notice and by payment in full in immediately available funds for the number of shares of Series A common stock purchased upon such exercise. The holder may also exercise the Pre-Funded Warrants through a “cashless exercise,” in which case, the holder would receive upon such exercise, the net number of shares of common stock determined according to the formula set forth in the Pre-Funded Warrants. The exercise price must be paid by the holder in cash in immediately available funds. </w:t>
      </w:r>
    </w:p>
    <w:p>
      <w:pPr>
        <w:pStyle w:val="TextBody"/>
        <w:bidi w:val="0"/>
        <w:spacing w:before="240" w:after="0"/>
        <w:jc w:val="left"/>
        <w:rPr>
          <w:rFonts w:ascii="Times New Roman" w:hAnsi="Times New Roman"/>
          <w:sz w:val="20"/>
        </w:rPr>
      </w:pPr>
      <w:r>
        <w:rPr>
          <w:rFonts w:ascii="Times New Roman" w:hAnsi="Times New Roman"/>
          <w:i/>
          <w:sz w:val="20"/>
        </w:rPr>
        <w:t>Exercise Limitations</w:t>
      </w:r>
      <w:r>
        <w:rPr>
          <w:rFonts w:ascii="Times New Roman" w:hAnsi="Times New Roman"/>
          <w:sz w:val="20"/>
        </w:rPr>
        <w:t xml:space="preserve">. A holder (together with its affiliates and other attribution parties) may not exercise any portion of a Pre-Funded Warrant to the extent that immediately prior to or after giving effect to such exercise the holder would own more than 9.99% of our outstanding Series A common stock immediately after exercise, which percentage may be changed at the holder’s election to a higher or lower percentage not in excess of 19.99% (if exceeding such percentage would result in a change of control under Nasdaq Listing Rule 5635(b) or any successor rule) upon 61 days’ notice to us subject to the terms of the pre-funded warrants. </w:t>
      </w:r>
    </w:p>
    <w:p>
      <w:pPr>
        <w:pStyle w:val="TextBody"/>
        <w:bidi w:val="0"/>
        <w:spacing w:before="240" w:after="0"/>
        <w:jc w:val="left"/>
        <w:rPr>
          <w:rFonts w:ascii="Times New Roman" w:hAnsi="Times New Roman"/>
          <w:sz w:val="20"/>
        </w:rPr>
      </w:pPr>
      <w:r>
        <w:rPr>
          <w:rFonts w:ascii="Times New Roman" w:hAnsi="Times New Roman"/>
          <w:i/>
          <w:sz w:val="20"/>
        </w:rPr>
        <w:t>Exercise Price</w:t>
      </w:r>
      <w:r>
        <w:rPr>
          <w:rFonts w:ascii="Times New Roman" w:hAnsi="Times New Roman"/>
          <w:sz w:val="20"/>
        </w:rPr>
        <w:t xml:space="preserve">. Each Pre-Funded Warrant offered hereby has an exercise price per share equal to $0.0001. The Pre-Funded Warrants are immediately exercisable and may be exercised at any time until the Pre-Funded Warrants are exercised in full. The exercise price and number of shares of Series A common stock issuable upon exercise is subject to adjustment in the event of stock dividends and distributions, stock splits, stock combinations, reclassifications or similar events affecting our common stock.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Subject to compliance with any applicable securities laws, the Pre-Funded Warrants are separately tradeable immediately after issuance at the option of the holders and may be transferred at the option of the holders. </w:t>
      </w:r>
    </w:p>
    <w:p>
      <w:pPr>
        <w:pStyle w:val="TextBody"/>
        <w:bidi w:val="0"/>
        <w:spacing w:before="240" w:after="0"/>
        <w:jc w:val="left"/>
        <w:rPr>
          <w:rFonts w:ascii="Times New Roman" w:hAnsi="Times New Roman"/>
          <w:sz w:val="20"/>
        </w:rPr>
      </w:pPr>
      <w:r>
        <w:rPr>
          <w:rFonts w:ascii="Times New Roman" w:hAnsi="Times New Roman"/>
          <w:i/>
          <w:sz w:val="20"/>
        </w:rPr>
        <w:t>No Listing</w:t>
      </w:r>
      <w:r>
        <w:rPr>
          <w:rFonts w:ascii="Times New Roman" w:hAnsi="Times New Roman"/>
          <w:sz w:val="20"/>
        </w:rPr>
        <w:t xml:space="preserve">. There is no established public trading market for the Pre-Funded Warrants and we do not expect a market to develop. In addition, we do not intend to apply for listing of the Pre-Funded Warrants on any securities exchange or recognized trading system, including Nasdaq. Without an active market, the liquidity of the Pre-Funded Warrants will be limited. </w:t>
      </w:r>
    </w:p>
    <w:p>
      <w:pPr>
        <w:pStyle w:val="TextBody"/>
        <w:bidi w:val="0"/>
        <w:spacing w:before="240" w:after="0"/>
        <w:jc w:val="left"/>
        <w:rPr>
          <w:rFonts w:ascii="Times New Roman" w:hAnsi="Times New Roman"/>
          <w:sz w:val="20"/>
        </w:rPr>
      </w:pPr>
      <w:r>
        <w:rPr>
          <w:rFonts w:ascii="Times New Roman" w:hAnsi="Times New Roman"/>
          <w:i/>
          <w:sz w:val="20"/>
        </w:rPr>
        <w:t>Fundamental Transactions</w:t>
      </w:r>
      <w:r>
        <w:rPr>
          <w:rFonts w:ascii="Times New Roman" w:hAnsi="Times New Roman"/>
          <w:sz w:val="20"/>
        </w:rPr>
        <w:t xml:space="preserve">. In the event of a fundamental transaction, as described in the Pre-Funded Warrants and generally including any reorganization, recapitalization or reclassification of our Series A common stock, the sale, transfer or other disposition of all or substantially all of our properties or assets, our consolidation or merger with or into another person, the acquisition of more than 50% of our outstanding Series A common stock, or any person or group becoming the beneficial owner of 50% of the voting power represented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Series A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w:t>
      </w:r>
    </w:p>
    <w:p>
      <w:pPr>
        <w:pStyle w:val="TextBody"/>
        <w:bidi w:val="0"/>
        <w:spacing w:before="240" w:after="0"/>
        <w:jc w:val="left"/>
        <w:rPr>
          <w:rFonts w:ascii="Times New Roman" w:hAnsi="Times New Roman"/>
          <w:sz w:val="20"/>
        </w:rPr>
      </w:pPr>
      <w:r>
        <w:rPr>
          <w:rFonts w:ascii="Times New Roman" w:hAnsi="Times New Roman"/>
          <w:i/>
          <w:sz w:val="20"/>
        </w:rPr>
        <w:t>Rights as a Stockholder</w:t>
      </w:r>
      <w:r>
        <w:rPr>
          <w:rFonts w:ascii="Times New Roman" w:hAnsi="Times New Roman"/>
          <w:sz w:val="20"/>
        </w:rPr>
        <w:t xml:space="preserve">. Except for the right to participate in certain dividends and distributions and as otherwise provided in the Pre-Funded Warrant or by virtue of a holder’s ownership of shares of our Series A common stock, the holders of the Pre-Funded Warrants do not have the rights or privileges of holders of our Series A common stock, including any voting rights, until they exercise their Pre-Funded Warrants. </w:t>
      </w:r>
    </w:p>
    <w:p>
      <w:pPr>
        <w:pStyle w:val="TextBody"/>
        <w:bidi w:val="0"/>
        <w:spacing w:before="240" w:after="0"/>
        <w:jc w:val="left"/>
        <w:rPr>
          <w:rFonts w:ascii="Times New Roman" w:hAnsi="Times New Roman"/>
          <w:sz w:val="20"/>
        </w:rPr>
      </w:pPr>
      <w:r>
        <w:rPr>
          <w:rFonts w:ascii="Times New Roman" w:hAnsi="Times New Roman"/>
          <w:i/>
          <w:sz w:val="20"/>
        </w:rPr>
        <w:t>Warrant Agent</w:t>
      </w:r>
      <w:r>
        <w:rPr>
          <w:rFonts w:ascii="Times New Roman" w:hAnsi="Times New Roman"/>
          <w:sz w:val="20"/>
        </w:rPr>
        <w:t xml:space="preserve">. We are acting as warrant agent for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68394_9"/>
      <w:bookmarkEnd w:id="11"/>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the material U.S. federal income tax considerations to U.S. holders and non-U.S. holders (each, as defined below) of the purchase, ownership and disposition of shares of our Series A common stock issued pursuant to this offering (the Shares) and the purchase, ownership and disposition of the Pre-Funded Warrants. The Shares and the Pre-Funded Warrants are collectively referred to herein as our “securities.” All prospective holders of our securities should consult their tax advisors with respect to the U.S. federal, state, local and non-U.S. tax consequences of the purchase, ownership and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not a complete analysis of all potential U.S. federal income tax consequences relating to the purchase, ownership and disposition of our securities. This discussion is based on current provisions of the U.S. Internal Revenue Code of 1986, as amended(the Code), existing U.S. Treasury Regulations promulgated thereunder, published administrative pronouncements and rulings of the U.S. Internal Revenue Service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any alternative minimum, Medicare contribution, estate or gift tax consequences, the special tax accounting rules under Section 451(b) of the Code, or any aspects of U.S. state, local or non-U.S. taxes or any other U.S. federal non-income tax laws. This discussion also does not address consequences relevant to holders subject to special tax rules, such as holders that own, or are deemed to own, more than 5% of our capital stock (except to the extent specifically set forth below), holders of our Series B common stock,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in connection with employee share incentive plans,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controlled foreign corporations, passive foreign investment companies and certain former U.S. citizens or long-term residents.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does not address the tax treatment of partnerships (or entities or arrangements that are treated as partnerships or disregarded entities for U.S. federal income tax purposes) or persons that hold our securities through such partnerships. If a partnership (or any entity or arrangement treated as a partnership or other pass-through or disregarded entity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Although it is not entirely free from doubt, we believe a Pre-Funded Warrant should be treated as a Share for U.S. federal income tax purposes and a holder of Pre-Funded Warrants should generally be taxed in the same manner as a holder of Shares, as described below. Accordingly, no gain or loss should be recognized upon the exercise of a Pre-Funded Warrant and, upon exercise, the holding period of a Pre-Funded Warrant should carry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 to the Share received. Similarly, the tax basis of the Pre-Funded Warrant should carry over to the Share received upon exercise, increased by the exercise price of $0.0001 per share. However, our characterization is not binding on the IRS, and the IRS may treat the Pre-Funded Warrants as warrants to acquire our Shares. If so, the amount and character of gain with respect to an investment in our Pre-Funded Warrants could change. Accordingly, each holder should consult his, her or its own tax advisor regarding the risks associated with the acquisition of Pre-Funded Warrants pursuant to this offering (including potential alternative characterizations). The balance of this discussion generally assumes the Pre-Funded Warrants are treated as Shares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Constructive Distributions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Pre-Funded Warrant provide for an adjustment to the consideration issuable upon exercise in certain events, as discussed in the section titled “Description of the Securities We Are Offering— Pre-Funded Warrants.” An adjustment which has the effect of preventing dilution is generally not a taxable event. Nevertheless, a U.S. holder or non-U.S. holder (each as defined below) of Pre-Funded Warrants may be treated as receiving a constructive distribution from us if, for example, the adjustment increases the holder’s proportionate interest in our assets or earnings and profits (e.g., through an increase in the number of shares of Series A common stock that would be obtained upon exercise) as a result of a distribution of cash to the holders of shares of our common stock which is taxable to such holders as a distribution. Such constructive distribution would be subject to tax in the same manner as if such U.S. holder or non-U.S. holder received a cash distribution from us equal to the fair market value of such increased interest, in each case, as described below. Each U.S. holder and non-U.S. holder is urged to consult its tax advisor regarding the U.S. federal income tax considerations of constructive distributions, if any, on the Pre-Funded Warrants. </w:t>
      </w:r>
    </w:p>
    <w:p>
      <w:pPr>
        <w:pStyle w:val="TextBody"/>
        <w:bidi w:val="0"/>
        <w:spacing w:before="360" w:after="0"/>
        <w:jc w:val="left"/>
        <w:rPr>
          <w:rFonts w:ascii="Times New Roman" w:hAnsi="Times New Roman"/>
          <w:b/>
          <w:sz w:val="20"/>
        </w:rPr>
      </w:pPr>
      <w:r>
        <w:rPr>
          <w:rFonts w:ascii="Times New Roman" w:hAnsi="Times New Roman"/>
          <w:b/>
          <w:sz w:val="20"/>
        </w:rPr>
        <w:t>Tax Considerations Applicable to U.S. Holders</w:t>
      </w:r>
    </w:p>
    <w:p>
      <w:pPr>
        <w:pStyle w:val="TextBody"/>
        <w:bidi w:val="0"/>
        <w:spacing w:before="120" w:after="0"/>
        <w:jc w:val="left"/>
        <w:rPr>
          <w:rFonts w:ascii="Times New Roman" w:hAnsi="Times New Roman"/>
          <w:b/>
          <w:i/>
          <w:sz w:val="20"/>
        </w:rPr>
      </w:pPr>
      <w:r>
        <w:rPr>
          <w:rFonts w:ascii="Times New Roman" w:hAnsi="Times New Roman"/>
          <w:b/>
          <w:i/>
          <w:sz w:val="20"/>
        </w:rPr>
        <w:t>Definition of U.S. Holder</w:t>
      </w:r>
    </w:p>
    <w:p>
      <w:pPr>
        <w:pStyle w:val="TextBody"/>
        <w:bidi w:val="0"/>
        <w:spacing w:before="120" w:after="0"/>
        <w:jc w:val="left"/>
        <w:rPr>
          <w:rFonts w:ascii="Times New Roman" w:hAnsi="Times New Roman"/>
          <w:sz w:val="20"/>
        </w:rPr>
      </w:pPr>
      <w:r>
        <w:rPr>
          <w:rFonts w:ascii="Times New Roman" w:hAnsi="Times New Roman"/>
          <w:sz w:val="20"/>
        </w:rPr>
        <w:t xml:space="preserve">In general, a “U.S. holder” means a beneficial owner of our securities (other than a partnership or an entity or arrangement treated as a partnership for U.S. federal income tax purposes)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 entity treated as a corporation for U.S. federal income tax purposes, created or organized in the United States or under the laws of the United States or of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on the Shares and Constructive Distributions on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we do not anticipate declaring or paying any future distributions. However, if we do make distributions on the Shares, such distributions will constitute dividends to the extent paid from our current or accumulated earnings and profits, as determined under U.S. federal income tax principles, and will be includible in a U.S. holder’s income as ordinary income when received. However, with respect to dividends received by individuals, such dividends are generally taxed at the lower applicable long-term capital gains rates, provided certain holding period and other requirements are satisfied. If a distribution exceeds our current and accumulated earnings and profits, the excess will be treated as a tax-free return of the U.S. holder’s investment, and will reduce such U.S. holder’s adjusted tax basis in the Shares or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applicable, but not below zero. Any remaining excess will be treated as capital gain from the sale or exchange of such Shares, subject to the tax treatment described below under the heading “—Gain on Sale or Other Taxable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305 of the Code, an adjustment to the number of shares of Series A common stock that will be issued on the exercise of Pre-Funded Warrants, or an adjustment to the exercise price of Pre-Funded Warrants (or in certain circumstances, a failure to make adjustments), may be treated as a constructive distribution to a U.S. holder of Pre-Funded Warrants if, and to the extent that, such adjustment has the effect of increasing such U.S. holder’s proportionate interest in our earnings and profits as determined under U.S. federal income tax principles or our assets, depending on the circumstances of such adjustment (for example, if such adjustment is to compensate for a distribution of cash or other property to our stockholders). U.S. holders should consult their tax advisors regarding the proper treatment of any adjustments to the number of shares of Series A common stock that will be issued on the exercise of Pre-Funded Warrants or the exercise price of Pre-Funded Warrants. For certain informational reporting purposes, we are required to determine the date and amount of any such constructive distribution and publicly report such information or report such information to the IRS and holders of Pre-Funded Warrants not exempt from information reporting. Proposed Treasury regulations, on which we may rely prior to the issuance of final Treasury regulations, specify how the date and amount of constructive distributions, and withholding obligations with respect thereto, are determined. </w:t>
      </w:r>
    </w:p>
    <w:p>
      <w:pPr>
        <w:pStyle w:val="TextBody"/>
        <w:bidi w:val="0"/>
        <w:spacing w:before="360" w:after="0"/>
        <w:jc w:val="left"/>
        <w:rPr>
          <w:rFonts w:ascii="Times New Roman" w:hAnsi="Times New Roman"/>
          <w:b/>
          <w:i/>
          <w:sz w:val="20"/>
        </w:rPr>
      </w:pPr>
      <w:r>
        <w:rPr>
          <w:rFonts w:ascii="Times New Roman" w:hAnsi="Times New Roman"/>
          <w:b/>
          <w:i/>
          <w:sz w:val="20"/>
        </w:rPr>
        <w:t>Sale or Other Taxable Disposition of the Shares or Pre-Funded Warrants</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Shares or Pre-Funded Warrants, a U.S. holder will generally recognize capital gain or loss equal to the difference between the amount of cash and the fair market value of any property received upon the sale, exchange or other taxable disposition and such U.S. holder’s adjusted tax basis in the Shares or Pre-Funded Warrants. This capital gain or loss will be long-term capital gain or loss if the U.S. holder’s holding period in such Shares or Pre-Funded Warrants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Backup Withholding and Information Reporting</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be subject to information reporting and backup withholding when such holder receives payments on our securities (including constructive distributions) or receives proceeds from the sale or other taxable disposition of our securities. Certain U.S. holders are exempt from backup withholding, including certain corporations and certain tax-exempt organizations. A U.S. holder will be subject to backup withholding if such holder is not otherwise exempt and such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furnish the holder’s taxpayer identification number, which for an individual is ordinarily his or her social security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furnishes an incorrect taxpayer identification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been notified by the IRS that the holder previously failed to properly report payments of interest or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fails to certify under penalties of perjury that the holder has furnished a correct taxpayer identification number and that the IRS has not notified the holder that the holder is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Tax Considerations Applicable to Non-U.S. Holders</w:t>
      </w:r>
    </w:p>
    <w:p>
      <w:pPr>
        <w:pStyle w:val="TextBody"/>
        <w:bidi w:val="0"/>
        <w:spacing w:before="120" w:after="0"/>
        <w:jc w:val="left"/>
        <w:rPr>
          <w:rFonts w:ascii="Times New Roman" w:hAnsi="Times New Roman"/>
          <w:b/>
          <w:i/>
          <w:sz w:val="20"/>
        </w:rPr>
      </w:pPr>
      <w:r>
        <w:rPr>
          <w:rFonts w:ascii="Times New Roman" w:hAnsi="Times New Roman"/>
          <w:b/>
          <w:i/>
          <w:sz w:val="20"/>
        </w:rPr>
        <w:t>Definition of Non-U.S. Holder</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our securities that is neither a U.S. holder nor a partnership or an entity or arrangement treated as a partnership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Distributions on the Shares and Constructive Distributions on Pre-Funded Warrants</w:t>
      </w:r>
    </w:p>
    <w:p>
      <w:pPr>
        <w:pStyle w:val="TextBody"/>
        <w:bidi w:val="0"/>
        <w:spacing w:before="120" w:after="0"/>
        <w:jc w:val="left"/>
        <w:rPr>
          <w:rFonts w:ascii="Times New Roman" w:hAnsi="Times New Roman"/>
          <w:sz w:val="20"/>
        </w:rPr>
      </w:pPr>
      <w:r>
        <w:rPr>
          <w:rFonts w:ascii="Times New Roman" w:hAnsi="Times New Roman"/>
          <w:sz w:val="20"/>
        </w:rPr>
        <w:t xml:space="preserve">If we make distributions on the Shares, such distributions will constitute dividends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and will reduce such non-U.S. holder’s adjusted tax basis in the Shares, but not below zero. Any remaining excess will be treated as capital gain from the sale or exchange of such Shares, subject to the tax treatment described below under the heading “—Gain on Sale, Exchange or Other Taxable Disposition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effectively connected income, dividends paid to a non-U.S. holder will generally be subject to withholding of U.S. federal income tax at a 30% rate of the gross amount of the dividend or such lower rate as may be specified by an applicable income tax treaty between the United States and such non-U.S. holder’s country of residence for purposes of such treaty. </w:t>
      </w:r>
    </w:p>
    <w:p>
      <w:pPr>
        <w:pStyle w:val="TextBody"/>
        <w:bidi w:val="0"/>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U.S. federal income tax rates applicable to U.S. persons (as defined in the Code). A non-U.S. holder that is a foreign corporation may also, under certain circumstances, be subject to an additional “branch profits tax” equal to 30% (or such lower rate as may be specified by an applicable income tax treaty between the United States and such non-U.S. holder’s country of residence for purposes of such treaty) of its effectively connected earnings and profits for the taxable year,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To claim a reduction or exemption from withholding, a non-U.S. holder generally will be required to provide (a) a properly executed IRS Form W-8BEN or IRS Form W-8BEN-E (or successor form) and satisfy applicable certification and other requirements to claim the benefit of an applicable income tax treaty between the United States and such non-U.S. holder’s country of residence, or (b) a properly executed IRS Form W-8ECI stating that dividends are not subject to withholding because they are effectively connected with such non-U.S. holder’s conduct of a trade or business within the United States. Non-U.S. holders are urged to consult their tax advisors regarding their entitlement to benefits under a relevant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that is eligible for a reduced rate of U.S. withholding tax under an income tax treaty may obtain a refund or credit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305 of the Code, an adjustment to the number of shares of Series A common stock that will be issued on the exercise of Pre-Funded Warrants, or an adjustment to the exercise price of Pre-Funded Warrants (or in certain circumstances, a failure to make adjustments), may be treated as a constructive distribution to a non-U.S. holder of Pre-Funded Warrants if, and to the extent that, such adjustment has the effect of increasing such non-U.S. holder’s proportionate interest in our earnings and profits as determined under U.S. federal income tax principles or our assets, depending on the circumstances of such adjustment (for example, if such adjustment is to compensate for a distribution of cash or other property to our stockholders). Non-U.S. holders should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consult their tax advisors regarding the proper treatment of any adjustments to the number of shares of Series A common stock that will be issued on the exercise of Pre-Funded Warrants or the exercise price of Pre-Funded Warrants. For certain informational reporting purposes, we are required to determine the date and amount of any such constructive distribution and publicly report such information or report such information to the IRS and holders of Pre-Funded Warrants not exempt from information reporting. Proposed Treasury regulations, on which we may rely prior to the issuance of final Treasury regulations, specify how the date and amount of constructive distributions, and withholding obligations with respect thereto, are determined.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will also be subject to the discussion below under the headings “—Backup Withholding and Information Reporting” and “—Foreign Accounts.” </w:t>
      </w:r>
    </w:p>
    <w:p>
      <w:pPr>
        <w:pStyle w:val="TextBody"/>
        <w:bidi w:val="0"/>
        <w:spacing w:before="360" w:after="0"/>
        <w:jc w:val="left"/>
        <w:rPr>
          <w:rFonts w:ascii="Times New Roman" w:hAnsi="Times New Roman"/>
          <w:b/>
          <w:i/>
          <w:sz w:val="20"/>
        </w:rPr>
      </w:pPr>
      <w:r>
        <w:rPr>
          <w:rFonts w:ascii="Times New Roman" w:hAnsi="Times New Roman"/>
          <w:b/>
          <w:i/>
          <w:sz w:val="20"/>
        </w:rPr>
        <w:t>Gain on Sale, Exchange or Other Taxable Disposition of Our Securities</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the headings “—Backup Withholding and Information Reporting” and “—Foreign Accounts,” in general, a non-U.S. holder will not be subject to any U.S. federal income tax on any gain realized upon such non-U.S. holder’s sale, exchange or other taxable disposition of our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at the U.S. federal income tax rates applicable to U.S. persons (as defined in the Code) and, if the non-U.S. holder is a foreign corporation, the branch profits tax described above in “—Distributions on the Shares and Constructive Distributions on Pre-Funded Warrants” also may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disposition (or the non-U.S. holder’s holding period, if shorter) a “U.S. real property holding corporation” in which case such non-U.S. holder generally will be taxed on its net gain derived from the disposition as effectively connected income taxable at the U.S. federal income tax rates applicable to U.S. persons (as defined in the Code); however, the branch profits tax described above will not apply to a non-U.S. holder that is a foreign corporation.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Even if we are or become a U.S. real property holding corporation, provided that our Series A common stock is regularly traded, as defined by applicable U.S. Treasury Regulations, on an established securities market, the Shares will be treated as a U.S. real property interest only with respect to a non-U.S. holder that holds more than 5% of our outstanding Series A common stock, directly or indirectly, actually or constructively, during the shorter of the 5-year period ending on the date of the disposition or the period that the non-U.S. holder held the Shares. There can be no assurance that our Series A common stock will continue to qualify as regularly traded on an established securities market. </w:t>
            </w:r>
          </w:p>
        </w:tc>
      </w:tr>
    </w:tbl>
    <w:p>
      <w:pPr>
        <w:pStyle w:val="TextBody"/>
        <w:bidi w:val="0"/>
        <w:spacing w:before="360" w:after="0"/>
        <w:jc w:val="left"/>
        <w:rPr>
          <w:rFonts w:ascii="Times New Roman" w:hAnsi="Times New Roman"/>
          <w:b/>
          <w:i/>
          <w:sz w:val="20"/>
        </w:rPr>
      </w:pPr>
      <w:r>
        <w:rPr>
          <w:rFonts w:ascii="Times New Roman" w:hAnsi="Times New Roman"/>
          <w:b/>
          <w:i/>
          <w:sz w:val="20"/>
        </w:rPr>
        <w:t>Backup Withholding and Information Reporting</w:t>
      </w:r>
    </w:p>
    <w:p>
      <w:pPr>
        <w:pStyle w:val="TextBody"/>
        <w:bidi w:val="0"/>
        <w:spacing w:before="120" w:after="0"/>
        <w:jc w:val="left"/>
        <w:rPr>
          <w:rFonts w:ascii="Times New Roman" w:hAnsi="Times New Roman"/>
          <w:sz w:val="20"/>
        </w:rPr>
      </w:pPr>
      <w:r>
        <w:rPr>
          <w:rFonts w:ascii="Times New Roman" w:hAnsi="Times New Roman"/>
          <w:sz w:val="20"/>
        </w:rPr>
        <w:t xml:space="preserve">We must report annually to the IRS and to each non-U.S. holder the gross amount of distributions on our securities paid to such non-U.S. holder and the tax withheld, if any, with respect to such distributions. Non-U.S.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will have to comply with specific certification procedures to establish that the holder is not a U.S. person (as defined in the Code) in order to avoid backup withholding at the applicable rate with respect to any dividends on our securities. A non-U.S. holder generally will not be subject to U.S. backup withholding with respect to payments of dividends on our securities if it certifies its non-U.S. status by providing a valid IRS Form W-8BEN or IRS Form W-8BEN-E (or successor form) or IRS Form W-8ECI, or otherwise establishes an exemption; provided we do not have actual knowledge or reason to know such non-U.S. holder is a U.S. person, as defined in the Code. Dividends paid to non-U.S. holders subject to U.S. withholding tax, as described above in “—Distributions on the Shares and Constructive Distributions on Pre-Funded Warrants” generally will be exempt from U.S.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will generally apply to the proceeds of a disposition of our securities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may be made available to the tax authorities of the country in which the non-U.S. holder resides or is established under the provisions of a specific treaty or agreement.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Foreign Accounts</w:t>
      </w:r>
    </w:p>
    <w:p>
      <w:pPr>
        <w:pStyle w:val="TextBody"/>
        <w:bidi w:val="0"/>
        <w:spacing w:before="120" w:after="0"/>
        <w:jc w:val="left"/>
        <w:rPr>
          <w:rFonts w:ascii="Times New Roman" w:hAnsi="Times New Roman"/>
          <w:sz w:val="20"/>
        </w:rPr>
      </w:pPr>
      <w:r>
        <w:rPr>
          <w:rFonts w:ascii="Times New Roman" w:hAnsi="Times New Roman"/>
          <w:sz w:val="20"/>
        </w:rPr>
        <w:t xml:space="preserve">The Code generally imposes a U.S. federal withholding tax of 30% on dividends and, subject to the discussion below regarding proposed regulations issued by the U.S. Treasury Department, the gross proceeds of a disposition of our securities paid to a “foreign financial institution” (as defined in the Code), unless such institution enters into an agreement with the U.S. government to, among other things, withhold on certain payments and to collect and provide to the U.S. tax authorities substantial information regarding accounts held by certain “specified United States persons” or “United States owned foreign entities” (each as defined in the Code), or otherwise qualifies for an exemption from these rules. A U.S. federal withholding tax of 30% also applies to dividends and, subject to the discussion below regarding proposed regulations issued by the U.S. Treasury Department, the gross proceeds of a disposition of our securities paid to a “non-financial foreign entity” (as defined in the Code), unless such entity provides the withholding agent with either a certification that it does not have any “substantial United States owners” (as defined in the Code), provides information regarding each substantial United States owner of the entity, or otherwise qualifies for an exemption from these rules. Under certain circumstances, a non-U.S. holder might be eligible for refunds or credits of such taxes. An intergovernmental agreement between the United States and an applicable foreign country may modify the requirements described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The withholding provisions described above currently apply to dividends paid on our securities. The U.S. Treasury Department released proposed regulations which, if finalized in their present form, would eliminate the U.S. federal withholding tax of 30% applicable to the gross proceeds of a sale or other disposition of our securities. In its preamble to such proposed regulations, the U.S. Treasury Department stated that taxpayers may generally rely on the proposed regulations until final regulations are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EACH PROSPECTIVE INVESTOR SHOULD CONSULT ITS TAX ADVISOR REGARDING THE PARTICULAR U.S. FEDERAL, STATE AND LOCAL AND NON-U.S. TAX CONSEQUENCES OF PURCHASING, HOLDING AND DISPOSING OF OUR SECURITIES,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68394_10"/>
      <w:bookmarkEnd w:id="12"/>
      <w:r>
        <w:rPr>
          <w:rFonts w:ascii="Times New Roman" w:hAnsi="Times New Roman"/>
          <w:b/>
          <w:sz w:val="20"/>
        </w:rPr>
        <w:t>UNDERWRITING</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TD Securities (USA) LLC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Series A common stock and Pre-Funded Warrants set forth opposite its name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8"/>
        <w:gridCol w:w="228"/>
        <w:gridCol w:w="65"/>
        <w:gridCol w:w="1080"/>
        <w:gridCol w:w="60"/>
        <w:gridCol w:w="228"/>
        <w:gridCol w:w="72"/>
        <w:gridCol w:w="1191"/>
        <w:gridCol w:w="63"/>
      </w:tblGrid>
      <w:tr>
        <w:trPr/>
        <w:tc>
          <w:tcPr>
            <w:tcW w:w="4768"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2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w:t>
            </w:r>
          </w:p>
        </w:tc>
        <w:tc>
          <w:tcPr>
            <w:tcW w:w="63" w:type="dxa"/>
            <w:tcBorders/>
            <w:vAlign w:val="bottom"/>
          </w:tcPr>
          <w:p>
            <w:pPr>
              <w:pStyle w:val="TableContents"/>
              <w:bidi w:val="0"/>
              <w:spacing w:before="0" w:after="283"/>
              <w:jc w:val="left"/>
              <w:rPr/>
            </w:pPr>
            <w:r>
              <w:rPr/>
              <w:t> </w:t>
            </w:r>
          </w:p>
        </w:tc>
      </w:tr>
      <w:tr>
        <w:trPr/>
        <w:tc>
          <w:tcPr>
            <w:tcW w:w="47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2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2,800,004</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880,004</w:t>
            </w:r>
          </w:p>
        </w:tc>
        <w:tc>
          <w:tcPr>
            <w:tcW w:w="63" w:type="dxa"/>
            <w:tcBorders/>
            <w:shd w:fill="CCEEFF" w:val="clear"/>
            <w:vAlign w:val="bottom"/>
          </w:tcPr>
          <w:p>
            <w:pPr>
              <w:pStyle w:val="TableContents"/>
              <w:bidi w:val="0"/>
              <w:spacing w:before="0" w:after="283"/>
              <w:jc w:val="left"/>
              <w:rPr/>
            </w:pPr>
            <w:r>
              <w:rPr/>
              <w:t> </w:t>
            </w:r>
          </w:p>
        </w:tc>
      </w:tr>
      <w:tr>
        <w:trPr/>
        <w:tc>
          <w:tcPr>
            <w:tcW w:w="4768"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2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2,625,003</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825,003</w:t>
            </w:r>
          </w:p>
        </w:tc>
        <w:tc>
          <w:tcPr>
            <w:tcW w:w="63" w:type="dxa"/>
            <w:tcBorders/>
            <w:vAlign w:val="bottom"/>
          </w:tcPr>
          <w:p>
            <w:pPr>
              <w:pStyle w:val="TableContents"/>
              <w:bidi w:val="0"/>
              <w:spacing w:before="0" w:after="283"/>
              <w:jc w:val="left"/>
              <w:rPr/>
            </w:pPr>
            <w:r>
              <w:rPr/>
              <w:t> </w:t>
            </w:r>
          </w:p>
        </w:tc>
      </w:tr>
      <w:tr>
        <w:trPr/>
        <w:tc>
          <w:tcPr>
            <w:tcW w:w="47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2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1,400,002</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440,002</w:t>
            </w:r>
          </w:p>
        </w:tc>
        <w:tc>
          <w:tcPr>
            <w:tcW w:w="63" w:type="dxa"/>
            <w:tcBorders/>
            <w:shd w:fill="CCEEFF" w:val="clear"/>
            <w:vAlign w:val="bottom"/>
          </w:tcPr>
          <w:p>
            <w:pPr>
              <w:pStyle w:val="TableContents"/>
              <w:bidi w:val="0"/>
              <w:spacing w:before="0" w:after="283"/>
              <w:jc w:val="left"/>
              <w:rPr/>
            </w:pPr>
            <w:r>
              <w:rPr/>
              <w:t> </w:t>
            </w:r>
          </w:p>
        </w:tc>
      </w:tr>
      <w:tr>
        <w:trPr/>
        <w:tc>
          <w:tcPr>
            <w:tcW w:w="4768"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22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875,001</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275,001</w:t>
            </w:r>
          </w:p>
        </w:tc>
        <w:tc>
          <w:tcPr>
            <w:tcW w:w="63" w:type="dxa"/>
            <w:tcBorders/>
            <w:vAlign w:val="bottom"/>
          </w:tcPr>
          <w:p>
            <w:pPr>
              <w:pStyle w:val="TableContents"/>
              <w:bidi w:val="0"/>
              <w:spacing w:before="0" w:after="283"/>
              <w:jc w:val="left"/>
              <w:rPr/>
            </w:pPr>
            <w:r>
              <w:rPr/>
              <w:t> </w:t>
            </w:r>
          </w:p>
        </w:tc>
      </w:tr>
      <w:tr>
        <w:trPr/>
        <w:tc>
          <w:tcPr>
            <w:tcW w:w="47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Canaccord Genuity LLC</w:t>
            </w:r>
          </w:p>
        </w:tc>
        <w:tc>
          <w:tcPr>
            <w:tcW w:w="22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306,250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96,250</w:t>
            </w:r>
          </w:p>
        </w:tc>
        <w:tc>
          <w:tcPr>
            <w:tcW w:w="63" w:type="dxa"/>
            <w:tcBorders/>
            <w:shd w:fill="CCEEFF" w:val="clear"/>
            <w:vAlign w:val="bottom"/>
          </w:tcPr>
          <w:p>
            <w:pPr>
              <w:pStyle w:val="TableContents"/>
              <w:bidi w:val="0"/>
              <w:spacing w:before="0" w:after="283"/>
              <w:jc w:val="left"/>
              <w:rPr/>
            </w:pPr>
            <w:r>
              <w:rPr/>
              <w:t> </w:t>
            </w:r>
          </w:p>
        </w:tc>
      </w:tr>
      <w:tr>
        <w:trPr/>
        <w:tc>
          <w:tcPr>
            <w:tcW w:w="4768" w:type="dxa"/>
            <w:tcBorders/>
          </w:tcPr>
          <w:p>
            <w:pPr>
              <w:pStyle w:val="TableContents"/>
              <w:bidi w:val="0"/>
              <w:spacing w:before="0" w:after="0"/>
              <w:jc w:val="left"/>
              <w:rPr>
                <w:rFonts w:ascii="Times New Roman" w:hAnsi="Times New Roman"/>
                <w:sz w:val="20"/>
              </w:rPr>
            </w:pPr>
            <w:r>
              <w:rPr>
                <w:rFonts w:ascii="Times New Roman" w:hAnsi="Times New Roman"/>
                <w:sz w:val="20"/>
              </w:rPr>
              <w:t>H.C. Wainwright &amp; Co., LLC</w:t>
            </w:r>
          </w:p>
        </w:tc>
        <w:tc>
          <w:tcPr>
            <w:tcW w:w="22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262,500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82,500</w:t>
            </w:r>
          </w:p>
        </w:tc>
        <w:tc>
          <w:tcPr>
            <w:tcW w:w="63" w:type="dxa"/>
            <w:tcBorders/>
            <w:vAlign w:val="bottom"/>
          </w:tcPr>
          <w:p>
            <w:pPr>
              <w:pStyle w:val="TableContents"/>
              <w:bidi w:val="0"/>
              <w:spacing w:before="0" w:after="283"/>
              <w:jc w:val="left"/>
              <w:rPr/>
            </w:pPr>
            <w:r>
              <w:rPr/>
              <w:t> </w:t>
            </w:r>
          </w:p>
        </w:tc>
      </w:tr>
      <w:tr>
        <w:trPr/>
        <w:tc>
          <w:tcPr>
            <w:tcW w:w="47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JonesTrading Institutional Services LLC</w:t>
            </w:r>
          </w:p>
        </w:tc>
        <w:tc>
          <w:tcPr>
            <w:tcW w:w="22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262,500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82,500</w:t>
            </w:r>
          </w:p>
        </w:tc>
        <w:tc>
          <w:tcPr>
            <w:tcW w:w="63" w:type="dxa"/>
            <w:tcBorders/>
            <w:shd w:fill="CCEEFF" w:val="clear"/>
            <w:vAlign w:val="bottom"/>
          </w:tcPr>
          <w:p>
            <w:pPr>
              <w:pStyle w:val="TableContents"/>
              <w:bidi w:val="0"/>
              <w:spacing w:before="0" w:after="283"/>
              <w:jc w:val="left"/>
              <w:rPr/>
            </w:pPr>
            <w:r>
              <w:rPr/>
              <w:t> </w:t>
            </w:r>
          </w:p>
        </w:tc>
      </w:tr>
      <w:tr>
        <w:trPr/>
        <w:tc>
          <w:tcPr>
            <w:tcW w:w="4768" w:type="dxa"/>
            <w:tcBorders/>
          </w:tcPr>
          <w:p>
            <w:pPr>
              <w:pStyle w:val="TableContents"/>
              <w:bidi w:val="0"/>
              <w:spacing w:before="0" w:after="0"/>
              <w:jc w:val="left"/>
              <w:rPr>
                <w:rFonts w:ascii="Times New Roman" w:hAnsi="Times New Roman"/>
                <w:sz w:val="20"/>
              </w:rPr>
            </w:pPr>
            <w:r>
              <w:rPr>
                <w:rFonts w:ascii="Times New Roman" w:hAnsi="Times New Roman"/>
                <w:sz w:val="20"/>
              </w:rPr>
              <w:t>Clear Street LLC</w:t>
            </w:r>
          </w:p>
        </w:tc>
        <w:tc>
          <w:tcPr>
            <w:tcW w:w="228"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218,750</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68,750</w:t>
            </w:r>
          </w:p>
        </w:tc>
        <w:tc>
          <w:tcPr>
            <w:tcW w:w="63" w:type="dxa"/>
            <w:tcBorders/>
            <w:vAlign w:val="bottom"/>
          </w:tcPr>
          <w:p>
            <w:pPr>
              <w:pStyle w:val="TableContents"/>
              <w:bidi w:val="0"/>
              <w:spacing w:before="0" w:after="283"/>
              <w:jc w:val="left"/>
              <w:rPr/>
            </w:pPr>
            <w:r>
              <w:rPr/>
              <w:t> </w:t>
            </w:r>
          </w:p>
        </w:tc>
      </w:tr>
      <w:tr>
        <w:trPr/>
        <w:tc>
          <w:tcPr>
            <w:tcW w:w="476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8"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8,750,010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2,750,010</w:t>
            </w:r>
          </w:p>
        </w:tc>
        <w:tc>
          <w:tcPr>
            <w:tcW w:w="63" w:type="dxa"/>
            <w:tcBorders/>
            <w:shd w:fill="CCEEFF" w:val="clear"/>
            <w:vAlign w:val="bottom"/>
          </w:tcPr>
          <w:p>
            <w:pPr>
              <w:pStyle w:val="TableContents"/>
              <w:bidi w:val="0"/>
              <w:spacing w:before="0" w:after="283"/>
              <w:jc w:val="left"/>
              <w:rPr/>
            </w:pPr>
            <w:r>
              <w:rPr/>
              <w:t> </w:t>
            </w:r>
          </w:p>
        </w:tc>
      </w:tr>
      <w:tr>
        <w:trPr/>
        <w:tc>
          <w:tcPr>
            <w:tcW w:w="476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 The underwriters have not been engaged to act as warrant agent for the Pre-Funded Warrants or to act as underwriter or agent or otherwise participate in the issuance of the shares of our Series A common stock upon the exercise of the Pre-Funded Warrants. </w:t>
      </w:r>
    </w:p>
    <w:p>
      <w:pPr>
        <w:pStyle w:val="TextBody"/>
        <w:bidi w:val="0"/>
        <w:spacing w:before="360" w:after="0"/>
        <w:jc w:val="left"/>
        <w:rPr>
          <w:rFonts w:ascii="Times New Roman" w:hAnsi="Times New Roman"/>
          <w:b/>
          <w:sz w:val="20"/>
        </w:rPr>
      </w:pPr>
      <w:r>
        <w:rPr>
          <w:rFonts w:ascii="Times New Roman" w:hAnsi="Times New Roman"/>
          <w:b/>
          <w:sz w:val="20"/>
        </w:rPr>
        <w:t>Discounts and Commissions</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shares (or Pre-Funded Warrants) at the offering price set forth on the cover page of this prospectus supplement and to dealers at that price less a concession not in excess of $0.36 per share or Pre-Funded Warrant. After the offering of the shares, the offering price, concession or any other term of this offering may be changed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offering price, underwriting discounts and commissions and proceeds, before expenses, to 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1"/>
        <w:gridCol w:w="334"/>
        <w:gridCol w:w="209"/>
        <w:gridCol w:w="935"/>
        <w:gridCol w:w="60"/>
        <w:gridCol w:w="334"/>
        <w:gridCol w:w="169"/>
        <w:gridCol w:w="833"/>
        <w:gridCol w:w="60"/>
        <w:gridCol w:w="334"/>
        <w:gridCol w:w="156"/>
        <w:gridCol w:w="1380"/>
        <w:gridCol w:w="67"/>
      </w:tblGrid>
      <w:tr>
        <w:trPr/>
        <w:tc>
          <w:tcPr>
            <w:tcW w:w="3701"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01"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Pre-</w:t>
              <w:br/>
              <w:t>Funded</w:t>
              <w:br/>
              <w:t>Warrant</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3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w:t>
            </w:r>
          </w:p>
        </w:tc>
        <w:tc>
          <w:tcPr>
            <w:tcW w:w="33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9.9999</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380" w:type="dxa"/>
            <w:tcBorders/>
            <w:shd w:fill="CCEEFF" w:val="clear"/>
            <w:vAlign w:val="bottom"/>
          </w:tcPr>
          <w:p>
            <w:pPr>
              <w:pStyle w:val="TableContents"/>
              <w:bidi w:val="0"/>
              <w:spacing w:before="0" w:after="283"/>
              <w:jc w:val="right"/>
              <w:rPr/>
            </w:pPr>
            <w:r>
              <w:rPr/>
              <w:t>114,999,925</w:t>
            </w:r>
          </w:p>
        </w:tc>
        <w:tc>
          <w:tcPr>
            <w:tcW w:w="67" w:type="dxa"/>
            <w:tcBorders/>
            <w:shd w:fill="CCEEFF" w:val="clear"/>
            <w:vAlign w:val="bottom"/>
          </w:tcPr>
          <w:p>
            <w:pPr>
              <w:pStyle w:val="TableContents"/>
              <w:bidi w:val="0"/>
              <w:spacing w:before="0" w:after="283"/>
              <w:jc w:val="left"/>
              <w:rPr/>
            </w:pPr>
            <w:r>
              <w:rPr/>
              <w:t> </w:t>
            </w:r>
          </w:p>
        </w:tc>
      </w:tr>
      <w:tr>
        <w:trPr/>
        <w:tc>
          <w:tcPr>
            <w:tcW w:w="370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33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935" w:type="dxa"/>
            <w:tcBorders/>
            <w:vAlign w:val="bottom"/>
          </w:tcPr>
          <w:p>
            <w:pPr>
              <w:pStyle w:val="TableContents"/>
              <w:bidi w:val="0"/>
              <w:spacing w:before="0" w:after="283"/>
              <w:jc w:val="right"/>
              <w:rPr/>
            </w:pPr>
            <w:r>
              <w:rPr/>
              <w:t>0.60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33" w:type="dxa"/>
            <w:tcBorders/>
            <w:vAlign w:val="bottom"/>
          </w:tcPr>
          <w:p>
            <w:pPr>
              <w:pStyle w:val="TableContents"/>
              <w:bidi w:val="0"/>
              <w:spacing w:before="0" w:after="283"/>
              <w:jc w:val="right"/>
              <w:rPr/>
            </w:pPr>
            <w:r>
              <w:rPr/>
              <w:t>0.60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380" w:type="dxa"/>
            <w:tcBorders/>
            <w:vAlign w:val="bottom"/>
          </w:tcPr>
          <w:p>
            <w:pPr>
              <w:pStyle w:val="TableContents"/>
              <w:bidi w:val="0"/>
              <w:spacing w:before="0" w:after="283"/>
              <w:jc w:val="right"/>
              <w:rPr/>
            </w:pPr>
            <w:r>
              <w:rPr/>
              <w:t>6,900,012</w:t>
            </w:r>
          </w:p>
        </w:tc>
        <w:tc>
          <w:tcPr>
            <w:tcW w:w="67" w:type="dxa"/>
            <w:tcBorders/>
            <w:vAlign w:val="bottom"/>
          </w:tcPr>
          <w:p>
            <w:pPr>
              <w:pStyle w:val="TableContents"/>
              <w:bidi w:val="0"/>
              <w:spacing w:before="0" w:after="283"/>
              <w:jc w:val="left"/>
              <w:rPr/>
            </w:pPr>
            <w:r>
              <w:rPr/>
              <w:t> </w:t>
            </w:r>
          </w:p>
        </w:tc>
      </w:tr>
      <w:tr>
        <w:trPr/>
        <w:tc>
          <w:tcPr>
            <w:tcW w:w="3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3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9.40</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3" w:type="dxa"/>
            <w:tcBorders/>
            <w:shd w:fill="CCEEFF" w:val="clear"/>
            <w:vAlign w:val="bottom"/>
          </w:tcPr>
          <w:p>
            <w:pPr>
              <w:pStyle w:val="TableContents"/>
              <w:bidi w:val="0"/>
              <w:spacing w:before="0" w:after="283"/>
              <w:jc w:val="right"/>
              <w:rPr/>
            </w:pPr>
            <w:r>
              <w:rPr/>
              <w:t>9.3999</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380" w:type="dxa"/>
            <w:tcBorders/>
            <w:shd w:fill="CCEEFF" w:val="clear"/>
            <w:vAlign w:val="bottom"/>
          </w:tcPr>
          <w:p>
            <w:pPr>
              <w:pStyle w:val="TableContents"/>
              <w:bidi w:val="0"/>
              <w:spacing w:before="0" w:after="283"/>
              <w:jc w:val="right"/>
              <w:rPr/>
            </w:pPr>
            <w:r>
              <w:rPr/>
              <w:t>108,099,913</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$0.6 million. We also have agreed to reimburse the underwriters for up to $25,000 for their FINRA counsel fee. In accordance with FINRA Rule 5110, this reimbursed fee is deemed underwriting compensation for this offering. </w:t>
      </w:r>
    </w:p>
    <w:p>
      <w:pPr>
        <w:pStyle w:val="TextBody"/>
        <w:bidi w:val="0"/>
        <w:spacing w:before="360" w:after="0"/>
        <w:jc w:val="left"/>
        <w:rPr>
          <w:rFonts w:ascii="Times New Roman" w:hAnsi="Times New Roman"/>
          <w:b/>
          <w:sz w:val="20"/>
        </w:rPr>
      </w:pPr>
      <w:r>
        <w:rPr>
          <w:rFonts w:ascii="Times New Roman" w:hAnsi="Times New Roman"/>
          <w:b/>
          <w:sz w:val="20"/>
        </w:rPr>
        <w:t>No Sales of Similar Securities</w:t>
      </w:r>
    </w:p>
    <w:p>
      <w:pPr>
        <w:pStyle w:val="TextBody"/>
        <w:bidi w:val="0"/>
        <w:spacing w:before="120" w:after="0"/>
        <w:jc w:val="left"/>
        <w:rPr>
          <w:rFonts w:ascii="Times New Roman" w:hAnsi="Times New Roman"/>
          <w:sz w:val="20"/>
        </w:rPr>
      </w:pPr>
      <w:r>
        <w:rPr>
          <w:rFonts w:ascii="Times New Roman" w:hAnsi="Times New Roman"/>
          <w:sz w:val="20"/>
        </w:rPr>
        <w:t xml:space="preserve">We and our executive officers, directors and certain of our stockholders agreed or will agree with the underwriters, subject to certain exceptions, during the period from the date of this prospectus supplement continuing through the date 45 days after the date of this prospectus supplement (such period, the restricted period), except with the prior written consent of Leerink Partners LLC and TD Securities (USA) LLC, not to (i) offer, sell, contract to sell, pledge, grant any option to purchase, loan, hedge, make any short sale or otherwise transfer or dispose of, directly or indirectly, or file with or confidentially submit to the SEC a registration statement under the Securities Act relating to, any of our securities that are substantially similar to the shares of Series A common stock in this offering, including but not limited to any options or warrants to purchase shares of Series A common stock or any securities that are convertible into or exchangeable for, or that represent the right to receive, Series A common stock or any such substantially similar securities, (ii) enter into any hedging, swap or other agreement that transfers, in whole or in part, any of the economic consequences of ownership of the Series A common stock or any such other securities, whether any such transaction described in clauses (i) or (ii) above is to be settled by delivery of Series A common stock or such other securities, in cash or otherwise (other than the shares of Series A common stock to be sold in this offering or pursuant to employee stock option plans existing on, or upon the conversion or exchange of convertible or exchangeable securities outstanding as of, the date of this prospectus supplement) or (iii) publicly disclose the intention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us for certain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shares by us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Series A common stock issued by us upon the exercise of an option or warrant or the conversion of a security outstanding on the date of this prospectus supplement and as described in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Series A common stock issued or options to purchase Series A common stock granted pursuant to employee benefit or equity incentive plans as described in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Series A common stock issued pursuant to any non-employee director stock plan or dividend reinvestment plan as described in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by us of a registration statement on Form S-8 or any successor form thereto with respect to the registration of securities to be offered under any of our employee benefit or equity incentive plans as described in this prospectus supplement;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Series A common stock or other securities issued in connection with a transaction that includes a commercial relationship (including strategic alliances, commercial lending relationships, joint ventures and strategic acquisitions), provided that (i) the aggregate number of shares issued pursuant to this clause (vi) (on an as-converted or as-exercised basis, as the case may be) shall not exceed five percent (5%) of the total number of outstanding shares of Series A common stock immediately following the issuance and sale of the shares of Series A common stock hereunder and (ii) the recipient of any such shares of Series A common stock or securities issued pursuant to this clause (vi) during such period shall enter into a lock-up agreement with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subject in certain cases to various conditions, to our officers, directors and certain of our stockholders with respect to certain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one or more bona fide gifts or charitable contributions, or for bona fide estate planning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death by will, testamentary document or intestate succession;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securityholder is a natural person, to any member of the securityholder’s immediate family or to any trust for the direct or indirect benefit of the securityholder or the immediate family of the securityholder or, if the securityholder is a trust, to a trustor or beneficiary of the trust or the estate of a beneficiary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corporation, partnership, limited liability company or other entity of which the securityholder and the immediate family of the securityholder are the legal and beneficial owner of all of the outstanding equity securities or similar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nominee or custodian of a person or entity to whom a disposition or transfer would be permissible under clauses (i) through (iv)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securityholder is a corporation, partnership, limited liability company or other business entity, (A) to another corporation, partnership, limited liability company or other business entity that is an affiliate (as defined in Rule 405 under the Securities Act) of the securityholder, or to any investment fund or other entity which fund or entity is controlled or managed by the securityholder or affiliates of the securityholder, or (B) as part of a distribution by the securityholder to its stockholders, partners, members or other equityholders or to the estate of any such stockholders, partners, members or other equityholders;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such as pursuant to a qualified domestic order, divorce settlement, divorce decree or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us from our employee upon death, disability or termination of employment, in each case, of such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securityholder is not our officer or director, in connection with a sale of the securityholder’s shares of Series A common stock acquired (A) from the underwriters in this offering or (B) in open market transactions after the closing date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(x)</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us in connection with the vesting, settlement or exercise of restricted stock units, options, warrants or other rights to purchase shares of Series A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supplement, provided that any securities received upon such vesting, settlement, exercise or conversion shall be subject to the terms of a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with the prior written consent of Leerink Partners LLC and TD Securities (USA) LLC on behalf of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us pursuant to an agreement under which we have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the circumstances of such transfer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a written plan meeting the requirements of Rule 10b5-1 under the Exchange Act relating to the transfer, sale or other disposition of the securityholder’s securities, if then permitted by us, provided that none of the securities subject to such plan may be transferred, sold or otherwise disposed of until after the expiration of the restricted period and no public announcement, report or filing under the Exchange Act, or any other public filing, report or announcement, shall be required or shall be voluntarily made regarding the establishment of such plan during the restricted period;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bona fide third-party tender offer, merger, consolidation or other similar transaction that is approved by our board of directors and made to all holders of our capital stock involving a Change of Control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our outstanding voting securities (or the surviving entity)); provided that in the event that such tender offer, merger, consolidation or other similar transaction is not completed, the securityholder’s securities shall remain subject to the provisions of the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(A) in the case of clauses (i), (ii), (iii), (iv), (v) and (vi) 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 up agreement, (C) in the case of clauses (i), (ii), (iii), (iv), (v) and (vi) above, no filing by any party (including, without limitation, any donor, donee, devisee, transferor, transferee, distributor or distributee) under the Exchange Act, or other public filing, report or announcement reporting a reduction in beneficial ownership of the securityholder’s holdings shall be required or shall be voluntarily made in connection with such transfer or distribution, and (D) in the case of clauses (vii), (viii), (ix) and (x) above, no filing under the Exchange Act or other public filing, report or announcement shall be voluntarily made, and if any such filing, report or announcement shall be legally required during the restricted period, such filing, report or announcement shall clearly indicate in the footnotes thereto (A) the circumstances of such transfer or distribution and (B) in the case of a transfer or distribution pursuant to clause (vii) above, that the donee, devisee, transferee or distributee has agreed to be bound by a lock-up agreement. </w:t>
      </w:r>
    </w:p>
    <w:p>
      <w:pPr>
        <w:pStyle w:val="TextBody"/>
        <w:bidi w:val="0"/>
        <w:spacing w:before="360" w:after="0"/>
        <w:jc w:val="left"/>
        <w:rPr>
          <w:rFonts w:ascii="Times New Roman" w:hAnsi="Times New Roman"/>
          <w:b/>
          <w:sz w:val="20"/>
        </w:rPr>
      </w:pPr>
      <w:r>
        <w:rPr>
          <w:rFonts w:ascii="Times New Roman" w:hAnsi="Times New Roman"/>
          <w:b/>
          <w:sz w:val="20"/>
        </w:rPr>
        <w:t>Nasdaq Global Market Listing</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“SGMT.” There is no established market for the Pre-Funded Warrants, and we do not expect a trading market to develop. We do not intend to list the Pre-Funded Warrants on any securities exchange or nationally recognized trading system, including the Nasdaq Global Market. Without a trading market, the liquidity of the Pre-Funded Warrants will be extremely limited. </w:t>
      </w:r>
    </w:p>
    <w:p>
      <w:pPr>
        <w:pStyle w:val="TextBody"/>
        <w:bidi w:val="0"/>
        <w:spacing w:before="360" w:after="0"/>
        <w:jc w:val="left"/>
        <w:rPr>
          <w:rFonts w:ascii="Times New Roman" w:hAnsi="Times New Roman"/>
          <w:b/>
          <w:sz w:val="20"/>
        </w:rPr>
      </w:pPr>
      <w:r>
        <w:rPr>
          <w:rFonts w:ascii="Times New Roman" w:hAnsi="Times New Roman"/>
          <w:b/>
          <w:sz w:val="20"/>
        </w:rPr>
        <w:t>Price Stabilization, Short Positions and Penalty Bids</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Stabilizing transactions consist of various bids for or purchases of shares of Series A common stock made by the underwriters in the open market prior to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Electronic Distribution</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certain of the underwriters or securities dealers may distribute prospectuses by electronic means, such as e-mail. </w:t>
      </w:r>
    </w:p>
    <w:p>
      <w:pPr>
        <w:pStyle w:val="TextBody"/>
        <w:bidi w:val="0"/>
        <w:spacing w:before="360" w:after="0"/>
        <w:jc w:val="left"/>
        <w:rPr>
          <w:rFonts w:ascii="Times New Roman" w:hAnsi="Times New Roman"/>
          <w:b/>
          <w:sz w:val="20"/>
        </w:rPr>
      </w:pPr>
      <w:r>
        <w:rPr>
          <w:rFonts w:ascii="Times New Roman" w:hAnsi="Times New Roman"/>
          <w:b/>
          <w:sz w:val="20"/>
        </w:rPr>
        <w:t>Other Relationships</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Leerink Partners LLC also served as underwriter in our prior offerings of our Series A common stock and is a sales agent under our “at-the-market” offering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Selling Restrictions</w:t>
      </w:r>
    </w:p>
    <w:p>
      <w:pPr>
        <w:pStyle w:val="TextBody"/>
        <w:bidi w:val="0"/>
        <w:spacing w:before="120" w:after="0"/>
        <w:jc w:val="left"/>
        <w:rPr>
          <w:rFonts w:ascii="Times New Roman" w:hAnsi="Times New Roman"/>
          <w:b/>
          <w:i/>
          <w:sz w:val="20"/>
        </w:rPr>
      </w:pPr>
      <w:r>
        <w:rPr>
          <w:rFonts w:ascii="Times New Roman" w:hAnsi="Times New Roman"/>
          <w:b/>
          <w:i/>
          <w:sz w:val="20"/>
        </w:rPr>
        <w:t>Notice to Prospective Investors in the European Economic Area</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securities shall require us or any of the representatives to publish a prospectus pursuant to Article 3 of the Prospectus Regulation or supplement a prospectus pursuant to Article 23 of the Prospectus Regulation or publish an Annex IX document pursuant to Article 1(4)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the United Kingdom</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will be offered pursuant to this offering to the public in the United Kingdom except that the securities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(i) the offer is conditional on the admission of the securities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in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of the POATR to any legal entity which is a qualified investor as defined under Article 2 of the UK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the United Kingdom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Canada</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Switzerland</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publicly offered in Switzerland and will not be listed on the SIX Swiss Exchange (the “SIX”), or on any other stock exchange or regulated trading facility in Switzerland. This document does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(the “CIS”). The investor protection afforded to acquirers of interests in collective investment schemes under the CIS does not extend to acquirers of securities.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the Dubai International Financial Centre</w:t>
      </w:r>
    </w:p>
    <w:p>
      <w:pPr>
        <w:pStyle w:val="TextBody"/>
        <w:bidi w:val="0"/>
        <w:spacing w:before="120" w:after="0"/>
        <w:jc w:val="left"/>
        <w:rPr>
          <w:rFonts w:ascii="Times New Roman" w:hAnsi="Times New Roman"/>
          <w:sz w:val="20"/>
        </w:rPr>
      </w:pPr>
      <w:r>
        <w:rPr>
          <w:rFonts w:ascii="Times New Roman" w:hAnsi="Times New Roman"/>
          <w:sz w:val="20"/>
        </w:rPr>
        <w:t xml:space="preserve">This document relates to an Exempt Offer in accordance with the Markets Rules 2012 of the Dubai Financial Services Authority(the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the United Arab Emirates</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Australia</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(the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(the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securities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Japan</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pursuant to Article 4, Paragraph 1 of the Financial Instruments and Exchange Act.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Hong Kong</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will be issued or has been or will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Singapore</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supplement or any other document or material in connection with the offer or sale, or invitation for subscription or purchase, of the securities,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Bermuda</w:t>
      </w:r>
    </w:p>
    <w:p>
      <w:pPr>
        <w:pStyle w:val="TextBody"/>
        <w:bidi w:val="0"/>
        <w:spacing w:before="120" w:after="0"/>
        <w:jc w:val="left"/>
        <w:rPr>
          <w:rFonts w:ascii="Times New Roman" w:hAnsi="Times New Roman"/>
          <w:sz w:val="20"/>
        </w:rPr>
      </w:pPr>
      <w:r>
        <w:rPr>
          <w:rFonts w:ascii="Times New Roman" w:hAnsi="Times New Roman"/>
          <w:sz w:val="20"/>
        </w:rPr>
        <w:t xml:space="preserve">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Saudi Arabia</w:t>
      </w:r>
    </w:p>
    <w:p>
      <w:pPr>
        <w:pStyle w:val="TextBody"/>
        <w:bidi w:val="0"/>
        <w:spacing w:before="120" w:after="0"/>
        <w:jc w:val="left"/>
        <w:rPr>
          <w:rFonts w:ascii="Times New Roman" w:hAnsi="Times New Roman"/>
          <w:sz w:val="20"/>
        </w:rPr>
      </w:pPr>
      <w:r>
        <w:rPr>
          <w:rFonts w:ascii="Times New Roman" w:hAnsi="Times New Roman"/>
          <w:sz w:val="20"/>
        </w:rPr>
        <w:t xml:space="preserve">This document may not be distributed in the Kingdom of Saudi Arabia except to such persons as are permitted under the Offers of Securities Regulations as issued by the board of the Saudi Arabian Capital Market Authority (the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Notice to Prospective Investors in the British Virgin Islands</w:t>
      </w:r>
    </w:p>
    <w:p>
      <w:pPr>
        <w:pStyle w:val="TextBody"/>
        <w:bidi w:val="0"/>
        <w:spacing w:before="120" w:after="0"/>
        <w:jc w:val="left"/>
        <w:rPr>
          <w:rFonts w:ascii="Times New Roman" w:hAnsi="Times New Roman"/>
          <w:sz w:val="20"/>
        </w:rPr>
      </w:pPr>
      <w:r>
        <w:rPr>
          <w:rFonts w:ascii="Times New Roman" w:hAnsi="Times New Roman"/>
          <w:sz w:val="20"/>
        </w:rPr>
        <w:t xml:space="preserve">The securities are not being, and may not be offered to the public or to any person in the British Virgin Islands for purchase or subscription by or on behalf of the Company. The securities may be offered to companies incorporated under the BVI Business Companies Act, 2004 (British Virgin Islands) (the “BVI Companies”) but only where the offer will be made to, and received by, the relevant BVI Company entirely outside of the British Virgin Islands.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China</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will not be circulated or distributed in the PRC and the securities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Korea</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under the Financial Investments Services and Capital Markets Act of Korea and the decrees and regulations thereunder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securities have not been listed on any of the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Malaysia</w:t>
      </w:r>
    </w:p>
    <w:p>
      <w:pPr>
        <w:pStyle w:val="TextBody"/>
        <w:bidi w:val="0"/>
        <w:spacing w:before="120" w:after="0"/>
        <w:jc w:val="left"/>
        <w:rPr>
          <w:rFonts w:ascii="Times New Roman" w:hAnsi="Times New Roman"/>
          <w:sz w:val="20"/>
        </w:rPr>
      </w:pPr>
      <w:r>
        <w:rPr>
          <w:rFonts w:ascii="Times New Roman" w:hAnsi="Times New Roman"/>
          <w:sz w:val="20"/>
        </w:rPr>
        <w:t xml:space="preserve">No prospectus or other offering material or document in connection with the offer and sale of the securities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Commission; provided that, in the each of the preceding categories (i) to (xi), the distribution of the securities is made by a 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Taiwan</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 </w:t>
      </w:r>
    </w:p>
    <w:p>
      <w:pPr>
        <w:pStyle w:val="TextBody"/>
        <w:bidi w:val="0"/>
        <w:spacing w:before="360" w:after="0"/>
        <w:jc w:val="left"/>
        <w:rPr>
          <w:rFonts w:ascii="Times New Roman" w:hAnsi="Times New Roman"/>
          <w:b/>
          <w:i/>
          <w:sz w:val="20"/>
        </w:rPr>
      </w:pPr>
      <w:r>
        <w:rPr>
          <w:rFonts w:ascii="Times New Roman" w:hAnsi="Times New Roman"/>
          <w:b/>
          <w:i/>
          <w:sz w:val="20"/>
        </w:rPr>
        <w:t>Notice to Prospective Investors in South Africa</w:t>
      </w:r>
    </w:p>
    <w:p>
      <w:pPr>
        <w:pStyle w:val="TextBody"/>
        <w:bidi w:val="0"/>
        <w:spacing w:before="120" w:after="0"/>
        <w:jc w:val="left"/>
        <w:rPr>
          <w:rFonts w:ascii="Times New Roman" w:hAnsi="Times New Roman"/>
          <w:sz w:val="20"/>
        </w:rPr>
      </w:pPr>
      <w:r>
        <w:rPr>
          <w:rFonts w:ascii="Times New Roman" w:hAnsi="Times New Roman"/>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Section 96(1)(a)</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the offer, transfer, sale, renunciation or delivery is to:</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(i) persons whose ordinary business, or part of whose ordinary business, is to deal in securities, as principal or agent;</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(ii)  the South African Public Investment Corporation;</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(iii)  persons or entities regulated by the Reserve Bank of South Africa;</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(iv) authorised financial service providers under South African law;</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(v)   financial institutions recognised as such under South African law;</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(vi) a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(vii) any combination of the person in (i) to (vi); or</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tcPr>
          <w:p>
            <w:pPr>
              <w:pStyle w:val="TableContents"/>
              <w:bidi w:val="0"/>
              <w:spacing w:before="0" w:after="283"/>
              <w:jc w:val="left"/>
              <w:rPr/>
            </w:pPr>
            <w:r>
              <w:rPr/>
              <w:t>Section 96(1)(b)</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283"/>
              <w:jc w:val="left"/>
              <w:rPr/>
            </w:pPr>
            <w:r>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made available in this prospectus supplement should not be considered as “advice” as defined in the South African Financial Advisory and Intermediary Services Act, 2002.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Notice to Prospective Investors in Israel</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this prospectus supplement shall not be regarded as an offer to the public to purchase securities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 — 1968. We have not and will not distribute this prospectus supplement or make, distribute or direct an offer to subscribe for our securities to any person within the State of Israel, other than to Qualified Investors and up to 35 Addressed Investors. Qualified Investors may have to submit written evidence that they meet the definitions set out in of the First Addendum to the Israeli Securities Law, 5728 — 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—1968 regarding Qualified </w:t>
      </w:r>
    </w:p>
    <w:p>
      <w:pPr>
        <w:pStyle w:val="TextBody"/>
        <w:bidi w:val="0"/>
        <w:spacing w:before="240" w:after="0"/>
        <w:jc w:val="left"/>
        <w:rPr>
          <w:rFonts w:ascii="Times New Roman" w:hAnsi="Times New Roman"/>
          <w:sz w:val="20"/>
        </w:rPr>
      </w:pPr>
      <w:r>
        <w:rPr>
          <w:rFonts w:ascii="Times New Roman" w:hAnsi="Times New Roman"/>
          <w:sz w:val="20"/>
        </w:rPr>
        <w:t xml:space="preserve">Investors is applicable to it; (iii) that it will abide by all provisions set forth in the Israeli Securities Law, 5728 —1968 and the regulations promulgated thereunder in connection with the offer to be issued securities; (iv) that the securities that it will be issued are, subject to exemptions available under the Israeli Securities Law, 5728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securities, other than the underwriters, is authorized to make any further offer of securities on our behalf or on behalf of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68394_11"/>
      <w:bookmarkEnd w:id="13"/>
      <w:r>
        <w:rPr>
          <w:rFonts w:ascii="Times New Roman" w:hAnsi="Times New Roman"/>
          <w:b/>
          <w:sz w:val="20"/>
        </w:rPr>
        <w:t>LEGAL MATTERS</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shares of our Series A common stock and the Pre-Funded Warrants offered in this prospectus supplement will be passed upon for us by Goodwin Procter LLP, Philadelphia, Pennsylvania. Cooley LLP, San Francisco, California, is representing the underwriters in this offering. </w:t>
      </w:r>
    </w:p>
    <w:p>
      <w:pPr>
        <w:pStyle w:val="TextBody"/>
        <w:bidi w:val="0"/>
        <w:spacing w:before="480" w:after="0"/>
        <w:jc w:val="center"/>
        <w:rPr>
          <w:rFonts w:ascii="Times New Roman" w:hAnsi="Times New Roman"/>
          <w:b/>
          <w:sz w:val="20"/>
        </w:rPr>
      </w:pPr>
      <w:bookmarkStart w:id="14" w:name="supptoc68394_12"/>
      <w:bookmarkEnd w:id="14"/>
      <w:r>
        <w:rPr>
          <w:rFonts w:ascii="Times New Roman" w:hAnsi="Times New Roman"/>
          <w:b/>
          <w:sz w:val="20"/>
        </w:rPr>
        <w:t xml:space="preserve">EXPERTS </w:t>
      </w:r>
    </w:p>
    <w:p>
      <w:pPr>
        <w:pStyle w:val="TextBody"/>
        <w:bidi w:val="0"/>
        <w:spacing w:before="240" w:after="0"/>
        <w:jc w:val="left"/>
        <w:rPr/>
      </w:pPr>
      <w:r>
        <w:rPr>
          <w:rFonts w:ascii="Times New Roman" w:hAnsi="Times New Roman"/>
          <w:sz w:val="20"/>
        </w:rPr>
        <w:t xml:space="preserve">The financial statements of Sagimet Biosciences Inc. as of December 31, 2025, incorporated by reference in this prospectus supplement by reference to Sagimet Biosciences Inc.’s annual report on </w:t>
      </w:r>
      <w:hyperlink r:id="rId3">
        <w:r>
          <w:rPr>
            <w:rStyle w:val="InternetLink"/>
            <w:rFonts w:ascii="Times New Roman" w:hAnsi="Times New Roman"/>
            <w:sz w:val="20"/>
          </w:rPr>
          <w:t>Form 10-K for the year ended December 31, 2025</w:t>
        </w:r>
      </w:hyperlink>
      <w:r>
        <w:rPr>
          <w:rFonts w:ascii="Times New Roman" w:hAnsi="Times New Roman"/>
          <w:sz w:val="20"/>
        </w:rPr>
        <w:t xml:space="preserve">, have been audited by KPMG, LLP, an independent registered public accounting firm, as stated in their report. Also as stated in their report, KPMG audited the adjustments to the 2024 financial statements to retrospectively adopt ASU 2023-09 as described in Note 2.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Sagimet Biosciences Inc. for the year ended December 31, 2024 (before the effects of the retrospective adjustments discussed in Note 2 to the financial statements) (not separately presented herein) have been audited by Deloitte &amp; Touche LLP, an independent registered public accounting firm, as stated in their report incorporated by reference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financial statements are incorporated by reference in reliance upon the respective reports of KPMG, LLP and Deloitte &amp; Touche LLP given their authority as experts in accounting and auditing. </w:t>
      </w:r>
    </w:p>
    <w:p>
      <w:pPr>
        <w:pStyle w:val="TextBody"/>
        <w:bidi w:val="0"/>
        <w:spacing w:before="480" w:after="0"/>
        <w:jc w:val="center"/>
        <w:rPr>
          <w:rFonts w:ascii="Times New Roman" w:hAnsi="Times New Roman"/>
          <w:b/>
          <w:sz w:val="20"/>
        </w:rPr>
      </w:pPr>
      <w:bookmarkStart w:id="15" w:name="supptoc68394_13"/>
      <w:bookmarkEnd w:id="15"/>
      <w:r>
        <w:rPr>
          <w:rFonts w:ascii="Times New Roman" w:hAnsi="Times New Roman"/>
          <w:b/>
          <w:sz w:val="20"/>
        </w:rPr>
        <w:t>WHERE YOU CAN FIND ADDITIONAL INFORMATION</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and accompanying prospectus, we refer you to the registration statement and the exhibits and schedules filed as a part of the registration statement and the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subject to the reporting requirements of the Exchange Act, and in accordance therewith file periodic reports, proxy statements and other information with the SEC. Our SEC filings are available to you on the SEC’s website at www.sec.gov and in the “Investors &amp; Media” section of our website at www.ir.sagimet.com. Our website and the information contained on that site, or connected to that site, are not incorporated into and are not a part of this prospectus supplement or the accompanying prospectus. </w:t>
      </w:r>
    </w:p>
    <w:p>
      <w:pPr>
        <w:pStyle w:val="TextBody"/>
        <w:bidi w:val="0"/>
        <w:spacing w:before="480" w:after="0"/>
        <w:jc w:val="center"/>
        <w:rPr>
          <w:rFonts w:ascii="Times New Roman" w:hAnsi="Times New Roman"/>
          <w:b/>
          <w:sz w:val="20"/>
        </w:rPr>
      </w:pPr>
      <w:bookmarkStart w:id="16" w:name="supptoc68394_14"/>
      <w:bookmarkEnd w:id="16"/>
      <w:r>
        <w:rPr>
          <w:rFonts w:ascii="Times New Roman" w:hAnsi="Times New Roman"/>
          <w:b/>
          <w:sz w:val="20"/>
        </w:rPr>
        <w:t>INCORPORATION OF CERTAIN INFORMATION BY REFERENCE</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 of which this prospectus supplement is a part the information or documents listed below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4">
              <w:r>
                <w:rPr>
                  <w:rStyle w:val="InternetLink"/>
                  <w:rFonts w:ascii="Times New Roman" w:hAnsi="Times New Roman"/>
                  <w:sz w:val="20"/>
                </w:rPr>
                <w:t>Annual Report on Form 10-K for the year ended December 31, 2025 filed with the SEC on March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12, 2026</w:t>
              </w:r>
            </w:hyperlink>
            <w:r>
              <w:rPr>
                <w:rFonts w:ascii="Times New Roman" w:hAnsi="Times New Roman"/>
                <w:sz w:val="20"/>
              </w:rPr>
              <w:t xml:space="preserve"> and </w:t>
            </w:r>
            <w:hyperlink r:id="rId6">
              <w:r>
                <w:rPr>
                  <w:rStyle w:val="InternetLink"/>
                  <w:rFonts w:ascii="Times New Roman" w:hAnsi="Times New Roman"/>
                  <w:sz w:val="20"/>
                </w:rPr>
                <w:t>August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w:t>
            </w:r>
            <w:hyperlink r:id="rId7">
              <w:r>
                <w:rPr>
                  <w:rStyle w:val="InternetLink"/>
                  <w:rFonts w:ascii="Times New Roman" w:hAnsi="Times New Roman"/>
                  <w:sz w:val="20"/>
                </w:rPr>
                <w:t>Annual Report on Form 10-K for the year ended December  31, 2025</w:t>
              </w:r>
            </w:hyperlink>
            <w:r>
              <w:rPr>
                <w:rFonts w:ascii="Times New Roman" w:hAnsi="Times New Roman"/>
                <w:sz w:val="20"/>
              </w:rPr>
              <w:t xml:space="preserve"> from our </w:t>
            </w:r>
            <w:hyperlink r:id="rId8">
              <w:r>
                <w:rPr>
                  <w:rStyle w:val="InternetLink"/>
                  <w:rFonts w:ascii="Times New Roman" w:hAnsi="Times New Roman"/>
                  <w:sz w:val="20"/>
                </w:rPr>
                <w:t>Definitive Proxy Statement on Schedule 14A, filed with the SEC on April 21,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9">
              <w:r>
                <w:rPr>
                  <w:rStyle w:val="InternetLink"/>
                  <w:rFonts w:ascii="Times New Roman" w:hAnsi="Times New Roman"/>
                  <w:sz w:val="20"/>
                </w:rPr>
                <w:t>April 21, 2026</w:t>
              </w:r>
            </w:hyperlink>
            <w:r>
              <w:rPr>
                <w:rFonts w:ascii="Times New Roman" w:hAnsi="Times New Roman"/>
                <w:sz w:val="20"/>
              </w:rPr>
              <w:t xml:space="preserve">, </w:t>
            </w:r>
            <w:hyperlink r:id="rId10">
              <w:r>
                <w:rPr>
                  <w:rStyle w:val="InternetLink"/>
                  <w:rFonts w:ascii="Times New Roman" w:hAnsi="Times New Roman"/>
                  <w:sz w:val="20"/>
                </w:rPr>
                <w:t>April  27, 2026</w:t>
              </w:r>
            </w:hyperlink>
            <w:r>
              <w:rPr>
                <w:rFonts w:ascii="Times New Roman" w:hAnsi="Times New Roman"/>
                <w:sz w:val="20"/>
              </w:rPr>
              <w:t xml:space="preserve">, </w:t>
            </w:r>
            <w:hyperlink r:id="rId11">
              <w:r>
                <w:rPr>
                  <w:rStyle w:val="InternetLink"/>
                  <w:rFonts w:ascii="Times New Roman" w:hAnsi="Times New Roman"/>
                  <w:sz w:val="20"/>
                </w:rPr>
                <w:t>April  28, 2026</w:t>
              </w:r>
            </w:hyperlink>
            <w:r>
              <w:rPr>
                <w:rFonts w:ascii="Times New Roman" w:hAnsi="Times New Roman"/>
                <w:sz w:val="20"/>
              </w:rPr>
              <w:t xml:space="preserve">, </w:t>
            </w:r>
            <w:hyperlink r:id="rId12">
              <w:r>
                <w:rPr>
                  <w:rStyle w:val="InternetLink"/>
                  <w:rFonts w:ascii="Times New Roman" w:hAnsi="Times New Roman"/>
                  <w:sz w:val="20"/>
                </w:rPr>
                <w:t>June  3, 2026</w:t>
              </w:r>
            </w:hyperlink>
            <w:r>
              <w:rPr>
                <w:rFonts w:ascii="Times New Roman" w:hAnsi="Times New Roman"/>
                <w:sz w:val="20"/>
              </w:rPr>
              <w:t xml:space="preserve">, </w:t>
            </w:r>
            <w:hyperlink r:id="rId13">
              <w:r>
                <w:rPr>
                  <w:rStyle w:val="InternetLink"/>
                  <w:rFonts w:ascii="Times New Roman" w:hAnsi="Times New Roman"/>
                  <w:sz w:val="20"/>
                </w:rPr>
                <w:t>June  12, 2026</w:t>
              </w:r>
            </w:hyperlink>
            <w:r>
              <w:rPr>
                <w:rFonts w:ascii="Times New Roman" w:hAnsi="Times New Roman"/>
                <w:sz w:val="20"/>
              </w:rPr>
              <w:t xml:space="preserve">, </w:t>
            </w:r>
            <w:hyperlink r:id="rId14">
              <w:r>
                <w:rPr>
                  <w:rStyle w:val="InternetLink"/>
                  <w:rFonts w:ascii="Times New Roman" w:hAnsi="Times New Roman"/>
                  <w:sz w:val="20"/>
                </w:rPr>
                <w:t>August  13, 2026</w:t>
              </w:r>
            </w:hyperlink>
            <w:r>
              <w:rPr>
                <w:rFonts w:ascii="Times New Roman" w:hAnsi="Times New Roman"/>
                <w:sz w:val="20"/>
              </w:rPr>
              <w:t xml:space="preserve"> and </w:t>
            </w:r>
            <w:hyperlink r:id="rId15">
              <w:r>
                <w:rPr>
                  <w:rStyle w:val="InternetLink"/>
                  <w:rFonts w:ascii="Times New Roman" w:hAnsi="Times New Roman"/>
                  <w:sz w:val="20"/>
                </w:rPr>
                <w:t>September 30, 2026</w:t>
              </w:r>
            </w:hyperlink>
            <w:r>
              <w:rPr>
                <w:rFonts w:ascii="Times New Roman" w:hAnsi="Times New Roman"/>
                <w:sz w:val="20"/>
              </w:rPr>
              <w:t xml:space="preserve"> (each to the extent the information in such reports is filed and not furnished);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Series A common stock contained in our registration statement on </w:t>
            </w:r>
            <w:hyperlink r:id="rId16">
              <w:r>
                <w:rPr>
                  <w:rStyle w:val="InternetLink"/>
                  <w:rFonts w:ascii="Times New Roman" w:hAnsi="Times New Roman"/>
                  <w:sz w:val="20"/>
                </w:rPr>
                <w:t>Form 8-A (File No. 001-41742) filed with the SEC on July  11, 2023</w:t>
              </w:r>
            </w:hyperlink>
            <w:r>
              <w:rPr>
                <w:rFonts w:ascii="Times New Roman" w:hAnsi="Times New Roman"/>
                <w:sz w:val="20"/>
              </w:rPr>
              <w:t xml:space="preserve">, under the Exchange Act, including any amendment or report filed for the purpose of updating such description, including </w:t>
            </w:r>
            <w:hyperlink r:id="rId17">
              <w:r>
                <w:rPr>
                  <w:rStyle w:val="InternetLink"/>
                  <w:rFonts w:ascii="Times New Roman" w:hAnsi="Times New Roman"/>
                  <w:sz w:val="20"/>
                </w:rPr>
                <w:t>Exhibit  4.3</w:t>
              </w:r>
            </w:hyperlink>
            <w:r>
              <w:rPr>
                <w:rFonts w:ascii="Times New Roman" w:hAnsi="Times New Roman"/>
                <w:sz w:val="20"/>
              </w:rPr>
              <w:t xml:space="preserve"> to our Annual Report on Form 10-K for the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we file with the SEC pursuant to Sections 13(a), 13(c), 14 or 15(d) of the Exchange Act after the date of this prospectus supplement and before the termination of the offering of our securities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by requesting them in writing or by telephone at: </w:t>
      </w:r>
    </w:p>
    <w:p>
      <w:pPr>
        <w:pStyle w:val="TextBody"/>
        <w:bidi w:val="0"/>
        <w:spacing w:before="240" w:after="0"/>
        <w:jc w:val="center"/>
        <w:rPr>
          <w:rFonts w:ascii="Times New Roman" w:hAnsi="Times New Roman"/>
          <w:sz w:val="20"/>
        </w:rPr>
      </w:pPr>
      <w:r>
        <w:rPr>
          <w:rFonts w:ascii="Times New Roman" w:hAnsi="Times New Roman"/>
          <w:sz w:val="20"/>
        </w:rPr>
        <w:t xml:space="preserve">Sagimet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950 Tower Lane, Suite 1500 </w:t>
      </w:r>
    </w:p>
    <w:p>
      <w:pPr>
        <w:pStyle w:val="TextBody"/>
        <w:bidi w:val="0"/>
        <w:spacing w:before="0" w:after="0"/>
        <w:jc w:val="center"/>
        <w:rPr>
          <w:rFonts w:ascii="Times New Roman" w:hAnsi="Times New Roman"/>
          <w:sz w:val="20"/>
        </w:rPr>
      </w:pPr>
      <w:r>
        <w:rPr>
          <w:rFonts w:ascii="Times New Roman" w:hAnsi="Times New Roman"/>
          <w:sz w:val="20"/>
        </w:rPr>
        <w:t xml:space="preserve">Foster City, California 94404 </w:t>
      </w:r>
    </w:p>
    <w:p>
      <w:pPr>
        <w:pStyle w:val="TextBody"/>
        <w:bidi w:val="0"/>
        <w:spacing w:before="0" w:after="0"/>
        <w:jc w:val="center"/>
        <w:rPr>
          <w:rFonts w:ascii="Times New Roman" w:hAnsi="Times New Roman"/>
          <w:sz w:val="20"/>
        </w:rPr>
      </w:pPr>
      <w:r>
        <w:rPr>
          <w:rFonts w:ascii="Times New Roman" w:hAnsi="Times New Roman"/>
          <w:sz w:val="20"/>
        </w:rPr>
        <w:t xml:space="preserve">(650)561-8600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and Administrative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$300,000,000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936875" cy="1054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936875" cy="1054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Series A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Units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We may offer and sell up to $300,000,000 in the aggregate of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19"/>
        </w:rPr>
      </w:pPr>
      <w:r>
        <w:rPr>
          <w:rFonts w:ascii="Times New Roman" w:hAnsi="Times New Roman"/>
          <w:sz w:val="19"/>
        </w:rPr>
        <w:t xml:space="preserve">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19"/>
        </w:rPr>
      </w:pPr>
      <w:r>
        <w:rPr>
          <w:rFonts w:ascii="Times New Roman" w:hAnsi="Times New Roman"/>
          <w:sz w:val="19"/>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rFonts w:ascii="Times New Roman" w:hAnsi="Times New Roman"/>
          <w:b/>
          <w:sz w:val="19"/>
        </w:rPr>
      </w:pPr>
      <w:r>
        <w:rPr>
          <w:rFonts w:ascii="Times New Roman" w:hAnsi="Times New Roman"/>
          <w:b/>
          <w:sz w:val="19"/>
        </w:rPr>
        <w:t xml:space="preserve">We are an emerging growth company and a smaller reporting company as defined under federal securities laws and, as such, may elect to comply with certain reduced public company reporting requirements for future filings. </w:t>
      </w:r>
    </w:p>
    <w:p>
      <w:pPr>
        <w:pStyle w:val="TextBody"/>
        <w:bidi w:val="0"/>
        <w:spacing w:before="240" w:after="0"/>
        <w:jc w:val="left"/>
        <w:rPr/>
      </w:pPr>
      <w:r>
        <w:rPr>
          <w:rFonts w:ascii="Times New Roman" w:hAnsi="Times New Roman"/>
          <w:b/>
          <w:sz w:val="22"/>
        </w:rPr>
        <w:t>INVESTING IN OUR SECURITIES INVOLVES RISKS. SEE THE “</w:t>
      </w:r>
      <w:hyperlink w:anchor="toc68394_6">
        <w:r>
          <w:rPr>
            <w:rStyle w:val="InternetLink"/>
            <w:rFonts w:ascii="Times New Roman" w:hAnsi="Times New Roman"/>
            <w:b/>
            <w:sz w:val="22"/>
          </w:rPr>
          <w:t>RISK FACTORS</w:t>
        </w:r>
      </w:hyperlink>
      <w:r>
        <w:rPr>
          <w:rFonts w:ascii="Times New Roman" w:hAnsi="Times New Roman"/>
          <w:b/>
          <w:sz w:val="22"/>
        </w:rPr>
        <w:t xml:space="preserve">” ON PAGE 9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19"/>
        </w:rPr>
      </w:pPr>
      <w:r>
        <w:rPr>
          <w:rFonts w:ascii="Times New Roman" w:hAnsi="Times New Roman"/>
          <w:sz w:val="19"/>
        </w:rPr>
        <w:t xml:space="preserve">Our Series A common stock is listed on the Nasdaq Global Market under the symbol “SGMT.” On August 14, 2024, the last reported sale price of our Series A common stock on the Nasdaq Global Market was $2.47 per share. </w:t>
      </w:r>
    </w:p>
    <w:p>
      <w:pPr>
        <w:pStyle w:val="TextBody"/>
        <w:bidi w:val="0"/>
        <w:spacing w:before="240" w:after="0"/>
        <w:jc w:val="left"/>
        <w:rPr>
          <w:rFonts w:ascii="Times New Roman" w:hAnsi="Times New Roman"/>
          <w:b/>
          <w:sz w:val="19"/>
        </w:rPr>
      </w:pPr>
      <w:r>
        <w:rPr>
          <w:rFonts w:ascii="Times New Roman" w:hAnsi="Times New Roman"/>
          <w:b/>
          <w:sz w:val="19"/>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9"/>
        </w:rPr>
      </w:pPr>
      <w:r>
        <w:rPr>
          <w:rFonts w:ascii="Times New Roman" w:hAnsi="Times New Roman"/>
          <w:b/>
          <w:sz w:val="19"/>
        </w:rPr>
        <w:t xml:space="preserve">The date of this prospectus is August 26,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3">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4">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5">
              <w:r>
                <w:rPr>
                  <w:rStyle w:val="InternetLink"/>
                  <w:rFonts w:ascii="Times New Roman" w:hAnsi="Times New Roman"/>
                  <w:sz w:val="20"/>
                </w:rPr>
                <w:t>ABOUT THE COMPANY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12">
              <w:r>
                <w:rPr>
                  <w:rStyle w:val="InternetLink"/>
                  <w:rFonts w:ascii="Times New Roman" w:hAnsi="Times New Roman"/>
                  <w:sz w:val="20"/>
                </w:rPr>
                <w:t>DESCRIPTION OF OUR SUBSCRIPTION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13">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14">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1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68394_1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68394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using a “shelf” registration process. By using a shelf registration statement, we may, from time to time, offer and sell, either individually or in combination, in one or more offerings, up to a total dollar amount of $300,000,000 of any combination of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consummate sales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“Sagimet,” “Sagimet Biosciences,” “we,” “our,” “us” and the “Company” in this prospectus, we mean Sagimet Biosciences Inc.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 and 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68394_2"/>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filed with the SEC under the Securities Act of 1933, as amended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subject to the reporting requirements of the Securities Exchange Act of 1934, as amended (the Exchange Act), and in accordance therewith file periodic reports, proxy statements and other information with the SEC. Our SEC filings are available to you on the SEC’s website at www.sec.gov and in the “Investors” section of our website at www.sagimet.com. Our website and the information contained on that site, or connected to that site, are not incorporated into and are not a part of this prospectus. </w:t>
      </w:r>
    </w:p>
    <w:p>
      <w:pPr>
        <w:pStyle w:val="TextBody"/>
        <w:bidi w:val="0"/>
        <w:spacing w:before="480" w:after="0"/>
        <w:jc w:val="center"/>
        <w:rPr>
          <w:rFonts w:ascii="Times New Roman" w:hAnsi="Times New Roman"/>
          <w:b/>
          <w:sz w:val="20"/>
        </w:rPr>
      </w:pPr>
      <w:bookmarkStart w:id="20" w:name="toc68394_3"/>
      <w:bookmarkEnd w:id="2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9">
              <w:r>
                <w:rPr>
                  <w:rStyle w:val="InternetLink"/>
                  <w:rFonts w:ascii="Times New Roman" w:hAnsi="Times New Roman"/>
                  <w:sz w:val="20"/>
                </w:rPr>
                <w:t xml:space="preserve">Our Annual Report on Form 10-K for the year ended December 31, 2023 filed with the SEC on March 25, 2024;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20">
              <w:r>
                <w:rPr>
                  <w:rStyle w:val="InternetLink"/>
                  <w:rFonts w:ascii="Times New Roman" w:hAnsi="Times New Roman"/>
                  <w:sz w:val="20"/>
                </w:rPr>
                <w:t xml:space="preserve">Our Quarterly Reports on Form 10-Q for the quarter ended March 31, 2024 filed with the SEC on May  15, 2024 </w:t>
              </w:r>
            </w:hyperlink>
            <w:r>
              <w:rPr>
                <w:rFonts w:ascii="Times New Roman" w:hAnsi="Times New Roman"/>
                <w:sz w:val="20"/>
              </w:rPr>
              <w:t xml:space="preserve">and for the </w:t>
            </w:r>
            <w:hyperlink r:id="rId21">
              <w:r>
                <w:rPr>
                  <w:rStyle w:val="InternetLink"/>
                  <w:rFonts w:ascii="Times New Roman" w:hAnsi="Times New Roman"/>
                  <w:sz w:val="20"/>
                </w:rPr>
                <w:t>quarter ended June 30, 2024 filed with the SEC on August 14,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w:t>
            </w:r>
            <w:hyperlink r:id="rId22">
              <w:r>
                <w:rPr>
                  <w:rStyle w:val="InternetLink"/>
                  <w:rFonts w:ascii="Times New Roman" w:hAnsi="Times New Roman"/>
                  <w:sz w:val="20"/>
                </w:rPr>
                <w:t>our Annual Report on Form 10-K for the year ended December  31, 2023</w:t>
              </w:r>
            </w:hyperlink>
            <w:r>
              <w:rPr>
                <w:rFonts w:ascii="Times New Roman" w:hAnsi="Times New Roman"/>
                <w:sz w:val="20"/>
              </w:rPr>
              <w:t xml:space="preserve"> from </w:t>
            </w:r>
            <w:hyperlink r:id="rId23">
              <w:r>
                <w:rPr>
                  <w:rStyle w:val="InternetLink"/>
                  <w:rFonts w:ascii="Times New Roman" w:hAnsi="Times New Roman"/>
                  <w:sz w:val="20"/>
                </w:rPr>
                <w:t>our Definitive Proxy Statement on Schedule 14A, filed with the SEC on April 18,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4">
              <w:r>
                <w:rPr>
                  <w:rStyle w:val="InternetLink"/>
                  <w:rFonts w:ascii="Times New Roman" w:hAnsi="Times New Roman"/>
                  <w:sz w:val="20"/>
                </w:rPr>
                <w:t>January 22, 2024</w:t>
              </w:r>
            </w:hyperlink>
            <w:r>
              <w:rPr>
                <w:rFonts w:ascii="Times New Roman" w:hAnsi="Times New Roman"/>
                <w:sz w:val="20"/>
              </w:rPr>
              <w:t xml:space="preserve">; </w:t>
            </w:r>
            <w:hyperlink r:id="rId25">
              <w:r>
                <w:rPr>
                  <w:rStyle w:val="InternetLink"/>
                  <w:rFonts w:ascii="Times New Roman" w:hAnsi="Times New Roman"/>
                  <w:sz w:val="20"/>
                </w:rPr>
                <w:t>January 30, 2024</w:t>
              </w:r>
            </w:hyperlink>
            <w:r>
              <w:rPr>
                <w:rFonts w:ascii="Times New Roman" w:hAnsi="Times New Roman"/>
                <w:sz w:val="20"/>
              </w:rPr>
              <w:t xml:space="preserve">; </w:t>
            </w:r>
            <w:hyperlink r:id="rId26">
              <w:r>
                <w:rPr>
                  <w:rStyle w:val="InternetLink"/>
                  <w:rFonts w:ascii="Times New Roman" w:hAnsi="Times New Roman"/>
                  <w:sz w:val="20"/>
                </w:rPr>
                <w:t>February 2, 2024</w:t>
              </w:r>
            </w:hyperlink>
            <w:r>
              <w:rPr>
                <w:rFonts w:ascii="Times New Roman" w:hAnsi="Times New Roman"/>
                <w:sz w:val="20"/>
              </w:rPr>
              <w:t xml:space="preserve">; </w:t>
            </w:r>
            <w:hyperlink r:id="rId27">
              <w:r>
                <w:rPr>
                  <w:rStyle w:val="InternetLink"/>
                  <w:rFonts w:ascii="Times New Roman" w:hAnsi="Times New Roman"/>
                  <w:sz w:val="20"/>
                </w:rPr>
                <w:t>March  25, 2024</w:t>
              </w:r>
            </w:hyperlink>
            <w:r>
              <w:rPr>
                <w:rFonts w:ascii="Times New Roman" w:hAnsi="Times New Roman"/>
                <w:sz w:val="20"/>
              </w:rPr>
              <w:t xml:space="preserve">; </w:t>
            </w:r>
            <w:hyperlink r:id="rId28">
              <w:r>
                <w:rPr>
                  <w:rStyle w:val="InternetLink"/>
                  <w:rFonts w:ascii="Times New Roman" w:hAnsi="Times New Roman"/>
                  <w:sz w:val="20"/>
                </w:rPr>
                <w:t>May  6, 2024</w:t>
              </w:r>
            </w:hyperlink>
            <w:r>
              <w:rPr>
                <w:rFonts w:ascii="Times New Roman" w:hAnsi="Times New Roman"/>
                <w:sz w:val="20"/>
              </w:rPr>
              <w:t xml:space="preserve">; </w:t>
            </w:r>
            <w:hyperlink r:id="rId29">
              <w:r>
                <w:rPr>
                  <w:rStyle w:val="InternetLink"/>
                  <w:rFonts w:ascii="Times New Roman" w:hAnsi="Times New Roman"/>
                  <w:sz w:val="20"/>
                </w:rPr>
                <w:t>June  6, 2024</w:t>
              </w:r>
            </w:hyperlink>
            <w:r>
              <w:rPr>
                <w:rFonts w:ascii="Times New Roman" w:hAnsi="Times New Roman"/>
                <w:sz w:val="20"/>
              </w:rPr>
              <w:t xml:space="preserve">, as amended on </w:t>
            </w:r>
            <w:hyperlink r:id="rId30">
              <w:r>
                <w:rPr>
                  <w:rStyle w:val="InternetLink"/>
                  <w:rFonts w:ascii="Times New Roman" w:hAnsi="Times New Roman"/>
                  <w:sz w:val="20"/>
                </w:rPr>
                <w:t>June  13, 2024</w:t>
              </w:r>
            </w:hyperlink>
            <w:r>
              <w:rPr>
                <w:rFonts w:ascii="Times New Roman" w:hAnsi="Times New Roman"/>
                <w:sz w:val="20"/>
              </w:rPr>
              <w:t xml:space="preserve">; </w:t>
            </w:r>
            <w:hyperlink r:id="rId31">
              <w:r>
                <w:rPr>
                  <w:rStyle w:val="InternetLink"/>
                  <w:rFonts w:ascii="Times New Roman" w:hAnsi="Times New Roman"/>
                  <w:sz w:val="20"/>
                </w:rPr>
                <w:t>July  2, 2024</w:t>
              </w:r>
            </w:hyperlink>
            <w:r>
              <w:rPr>
                <w:rFonts w:ascii="Times New Roman" w:hAnsi="Times New Roman"/>
                <w:sz w:val="20"/>
              </w:rPr>
              <w:t xml:space="preserve">; </w:t>
            </w:r>
            <w:hyperlink r:id="rId32">
              <w:r>
                <w:rPr>
                  <w:rStyle w:val="InternetLink"/>
                  <w:rFonts w:ascii="Times New Roman" w:hAnsi="Times New Roman"/>
                  <w:sz w:val="20"/>
                </w:rPr>
                <w:t>August  1, 2024</w:t>
              </w:r>
            </w:hyperlink>
            <w:r>
              <w:rPr>
                <w:rFonts w:ascii="Times New Roman" w:hAnsi="Times New Roman"/>
                <w:sz w:val="20"/>
              </w:rPr>
              <w:t xml:space="preserve"> and </w:t>
            </w:r>
            <w:hyperlink r:id="rId33">
              <w:r>
                <w:rPr>
                  <w:rStyle w:val="InternetLink"/>
                  <w:rFonts w:ascii="Times New Roman" w:hAnsi="Times New Roman"/>
                  <w:sz w:val="20"/>
                </w:rPr>
                <w:t>August 14, 2024</w:t>
              </w:r>
            </w:hyperlink>
            <w:r>
              <w:rPr>
                <w:rFonts w:ascii="Times New Roman" w:hAnsi="Times New Roman"/>
                <w:sz w:val="20"/>
              </w:rPr>
              <w:t xml:space="preserve"> (in each case other than any portions thereof deemed furnished and not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Series A common stock contained in </w:t>
            </w:r>
            <w:hyperlink r:id="rId34">
              <w:r>
                <w:rPr>
                  <w:rStyle w:val="InternetLink"/>
                  <w:rFonts w:ascii="Times New Roman" w:hAnsi="Times New Roman"/>
                  <w:sz w:val="20"/>
                </w:rPr>
                <w:t>our registration statement on Form 8-A (File No. 001-41742) filed with the SEC on July 11, 2023</w:t>
              </w:r>
            </w:hyperlink>
            <w:r>
              <w:rPr>
                <w:rFonts w:ascii="Times New Roman" w:hAnsi="Times New Roman"/>
                <w:sz w:val="20"/>
              </w:rPr>
              <w:t xml:space="preserve">, under the Exchange Act, including any amendment or report filed for the purpose of updating such description, including </w:t>
            </w:r>
            <w:hyperlink r:id="rId35">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www.sagimet.com by viewing the “Financials &amp; Filings” subsection of the “Investors” menu. No additional information is deemed to be part of or incorporated by reference into this prospectus. </w:t>
      </w:r>
    </w:p>
    <w:p>
      <w:pPr>
        <w:pStyle w:val="TextBody"/>
        <w:bidi w:val="0"/>
        <w:spacing w:before="240" w:after="0"/>
        <w:jc w:val="center"/>
        <w:rPr>
          <w:rFonts w:ascii="Times New Roman" w:hAnsi="Times New Roman"/>
          <w:sz w:val="20"/>
        </w:rPr>
      </w:pPr>
      <w:r>
        <w:rPr>
          <w:rFonts w:ascii="Times New Roman" w:hAnsi="Times New Roman"/>
          <w:sz w:val="20"/>
        </w:rPr>
        <w:t xml:space="preserve">Sagimet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155 Bovet Road, Suite 303 </w:t>
      </w:r>
    </w:p>
    <w:p>
      <w:pPr>
        <w:pStyle w:val="TextBody"/>
        <w:bidi w:val="0"/>
        <w:spacing w:before="0" w:after="0"/>
        <w:jc w:val="center"/>
        <w:rPr>
          <w:rFonts w:ascii="Times New Roman" w:hAnsi="Times New Roman"/>
          <w:sz w:val="20"/>
        </w:rPr>
      </w:pPr>
      <w:r>
        <w:rPr>
          <w:rFonts w:ascii="Times New Roman" w:hAnsi="Times New Roman"/>
          <w:sz w:val="20"/>
        </w:rPr>
        <w:t xml:space="preserve">San Mateo, California 94402 </w:t>
      </w:r>
    </w:p>
    <w:p>
      <w:pPr>
        <w:pStyle w:val="TextBody"/>
        <w:bidi w:val="0"/>
        <w:spacing w:before="0" w:after="0"/>
        <w:jc w:val="center"/>
        <w:rPr>
          <w:rFonts w:ascii="Times New Roman" w:hAnsi="Times New Roman"/>
          <w:sz w:val="20"/>
        </w:rPr>
      </w:pPr>
      <w:r>
        <w:rPr>
          <w:rFonts w:ascii="Times New Roman" w:hAnsi="Times New Roman"/>
          <w:sz w:val="20"/>
        </w:rPr>
        <w:t xml:space="preserve">(650) 561-8600 </w:t>
      </w:r>
    </w:p>
    <w:p>
      <w:pPr>
        <w:pStyle w:val="TextBody"/>
        <w:bidi w:val="0"/>
        <w:spacing w:before="0" w:after="0"/>
        <w:jc w:val="center"/>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68394_4"/>
      <w:bookmarkEnd w:id="21"/>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applicable prospectus supplement and the documents incorporated by reference may contain forward-looking statements within the meaning of Section 27A of the Securities Act and Section 21E of the Exchange Act about us.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cash and the sufficiency of our existing cash, cash equivalents and marketable securities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developing denifanstat or any other drug candidates we may develop, and conducting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drug candidates into and successfully complete clinical trials within anticipated timelines, including our Phase 3 clinical trials of denifanstat;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costs involved in obtaining and maintaining regulatory approval of denifanstat or any other drug candidates we may develop, and the timing or likelihood of regulatory filings and approvals, including our expectation to seek special designations or accelerated approvals for our drug candidates for various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and future agreements with third parties in connection with the development and commercialization of denifanstat or any other future drug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estimated number of patients in the United States who suffer from the diseases we target, including metabolic dysfunction-associated steatohepatitis (MASH), formerly known as nonalcoholic steatohepatitis (NASH), and the number of subjects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 with Ascletis BioScience Co. Ltd. (Ascletis), and its affiliate Gannex Pharma Co., Ltd. (Gannex), and the success of their development efforts for denifanstat;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the safety and efficacy of denifanstat and any other drug candidates we may develop,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denifanstat and any other drug candidates we may develop, if approved, including the geographic areas of focus and our ability to grow a sales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competing drug candidates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denifanstat and any other drug candidates we may develop, including additional indications that we may pursue for denifanstat or other drug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and ability to successfully manufacture and supply denifanstat and any other drug candidates we may develop for clinical trials and for commercial use,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denifanstat and any other drug candidates we may develop, as well as the pricing and reimbursement of denifanstat and any other drug candidates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maintain, protect and enforce intellectual property protection for denifanstat and for any other future drug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anticipated benefits of any strategic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the continued service of our key personnel and to identify, hire, and then retain additional qualified personnel and our ability to attract additional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macroeconomic conditions and geopolitical turmoil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will qualify as an emerging growth company under the JOBS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cash, cash equivalents and marketable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cash and other resources, including our expected use of the proceeds from any offering under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required by law, we undertake no obligation to release publicly any revisions to such forward-looking statements to reflect events or circumstances after the date of this prospectus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68394_5"/>
      <w:bookmarkEnd w:id="22"/>
      <w:r>
        <w:rPr>
          <w:rFonts w:ascii="Times New Roman" w:hAnsi="Times New Roman"/>
          <w:b/>
          <w:sz w:val="20"/>
        </w:rPr>
        <w:t xml:space="preserve">ABOUT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developing novel therapeutics called fatty acid synthase (FASN) inhibitors that target dysfunctional metabolic pathways in diseases resulting from the overproduction of the fatty acid, palmitate. Our lead drug candidate, denifanstat, is an oral, once-daily pill and selective FASN inhibitor in development for the treatment of metabolic dysfunction-associated steatohepatitis (MASH), formerly known as nonalcoholic steatohepatitis (NASH). Denifanstat has been studied in over 740 people to date in our clinical trials, including our FASCINATE-1 and -2 clinical trials. We are currently designing pivotal Phase 3 clinical trials for denifanstat in MASH and expect to initiate our Phase 3 development program in the second half of 2024. </w:t>
      </w:r>
    </w:p>
    <w:p>
      <w:pPr>
        <w:pStyle w:val="TextBody"/>
        <w:bidi w:val="0"/>
        <w:spacing w:before="240" w:after="0"/>
        <w:jc w:val="left"/>
        <w:rPr>
          <w:rFonts w:ascii="Times New Roman" w:hAnsi="Times New Roman"/>
          <w:sz w:val="20"/>
        </w:rPr>
      </w:pPr>
      <w:r>
        <w:rPr>
          <w:rFonts w:ascii="Times New Roman" w:hAnsi="Times New Roman"/>
          <w:sz w:val="20"/>
        </w:rPr>
        <w:t xml:space="preserve">In January 2024, we announced positive topline results from the Phase 2b FASCINATE-2 clinical trial, evaluating denifanstat in biopsy-confirmed MASH patients with stage F2 or F3 fibrosis compared to placebo at week 52. The FASCINATE-2 Phase 2b clinical trial achieved statistically significant results on primary and multiple secondary endpoints at week 52 in 168 MASH patients, in the modified intention to treat (mITT) population,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primary endpoints of ≥2-point reduction in NAS (NAFLD Activity Score) without worsening of fibrosis (denifanstat 52% vs. placebo 20%, p=0.0003), and MASH resolution without worsening of fibrosis with ≥2-point reduction in NAS (denifanstat 36% vs. placebo 13%, p=0.0044).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Multiple secondary endpoints of fibrosis improvement by ≥ 1 stage with no worsening of MASH (denifanstat 41% vs. placebo 18%, p=0.0051), MASH resolution with no worsening of fibrosis (denifanstat 38% vs. placebo 16%, p=0.0021), and a greater proportion of MRI-derived proton density fat fraction (MRI-PDFF) ≥30% responders relative to placebo (denifanstat 65% vs. placebo 21%, p&lt;0.0001). MRI-PDFF responders are patients with ≥8% liver fat content at baseline who achieve a ≥30% relative reduction of liver fat at the end of treatment.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Denifanstat showed also statistical significance in fibrosis improvement by an independent approach of artificial intelligence (AI) digital pathology-based qFibrosis assessment. Additionally, our precision medicine approach is core to our development strategy in MASH and includes the identification of pharmacodynamic and predictive biomarkers to confirm target engagement and clinical response in patients treated with denifanstat. We held an End-of-Phase 2 meeting with the U.S. Food and Drug Administration (FDA) in May 2024 and are currently in discussions with the FDA regarding our Phase 3 development plans for denifanstat in MASH. </w:t>
      </w:r>
    </w:p>
    <w:p>
      <w:pPr>
        <w:pStyle w:val="TextBody"/>
        <w:bidi w:val="0"/>
        <w:spacing w:before="240" w:after="0"/>
        <w:jc w:val="left"/>
        <w:rPr>
          <w:rFonts w:ascii="Times New Roman" w:hAnsi="Times New Roman"/>
          <w:sz w:val="20"/>
        </w:rPr>
      </w:pPr>
      <w:r>
        <w:rPr>
          <w:rFonts w:ascii="Times New Roman" w:hAnsi="Times New Roman"/>
          <w:sz w:val="20"/>
        </w:rPr>
        <w:t xml:space="preserve">In June 2024, we presented positive data from the FASCINATE-2 Phase 2b clinical trial of denifanstat versus placebo in biopsy-confirmed MASH patients at the European Association for the Study of the Liver (EASL) Congress. Our EASL presentation included the following 52-week intention to treat (ITT), mITT and F3 subgroup efficacy data: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primary endpoint of ≥2-point reduction in NAS (NAFLD Activity Score) without worsening of fibrosis (denifanstat 38% vs. placebo 16%, p=0.0035) or MASH resolution with ≥2-point reduction in NAS without worsening of fibrosis (denifanstat 26% vs. placebo 11%, p=0.0173) in the ITT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Secondary endpoints of fibrosis improvement by ≥ 1 stage with no worsening of MASH in the ITT (denifanstat 30% vs. placebo 14%, p=0.0199) and F3 mITT (denifanstat 49% vs. placebo 13%, p=0.0032)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Fibrosis improvement by ≥ 2 stages with no worsening of MASH in the mITT (denifanstat 20% vs. placebo 2%, p=0.0065) and F3 mITT (denifanstat 34% vs. placebo 4%, p=0.0065)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statistically significant difference in progression to cirrhosis (F4) in the mITT population (denifanstat 5% vs. placebo 11%, p=0.0386).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statistically significant difference in fibrosis improvement by ≥ 1 stage with no worsening of MASH for patients on a stable background dose of a GLP-1RA (denifanstat 42% vs. placebo 0%, p=0.034) in the mITT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statistically significant increase in beneficial polyunsaturated triglycerides at the end of 52 week of treatment (+42% denifanstat vs. -4% placebo, p&lt;0.001) in the mITT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biomarker of denifanstat activity (tripalmitin) showed an early and sustained reduction in de novo lipogenesis at 4-weeks (-2.4ug/ml with denifanstat vs. -0.4ug/mL placebo, p=0.001) and 13-weeks (-2.2ug/mL with denifanstat vs. -0.1ug/mL placebo, p=0.005) in the ITT population.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evaluating the promise of FASN inhibition, beyond MASH, in additional disease areas in which dysregulation of fatty acid metabolism also plays a key role, including in acne and certain forms of cancer. Denifanstat is currently being tested in China by our license partner, Ascletis BioScience Co. Ltd. (Ascletis), a subsidiary of Ascletis Pharma Inc. (Ascletis Pharma), in a Phase 3 clinical trial for moderate to severe acne vulgaris, and a Phase 3 clinical trial in recurrent glioblastoma multiforme (GBM) in combination with bevacizumab. We expect these results to inform our development strategy in these indications. We have completed Investigational New Drug (IND)-enabling studies for a second clinical candidate FASN inhibitor, TVB-3567.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Delaware in December 2006 under the name 3-V Biosciences, Inc., and changed our name to Sagimet Biosciences Inc. in August 2019. Our principal executive offices are located at 155 Bovet Road, Suite 303, San Mateo, California 94402, and our telephone number is (650) 561-8600.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www.sagimet.com. Information contained on, or that can be accessed through, our website is not incorporated by reference into this prospectus and the inclusion of our website address in this prospectus is only an inactive textual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an Emerging Growth Company and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qualify as an “emerging growth company” as defined in the Jumpstart Our Business Startups Act of 2012 (the JOBS Act). An emerging growth company may take advantage of reduced reporting requirements that are otherwise applicable to public companies. These provisions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permitted to present only two years of audited financial statements and only two years of related Management’s Discussion and Analysis of Financial Condition and Results of Operations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(the Sarbanes-Oxley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provisions until December 31, 2028, which is the last day of our fiscal year following the fifth anniversary of the date of our initial public offering (IPO). However, if certain events occur prior to the end of such five-year period, including if we become a “large accelerated filer,” which occurs when the market value of our Series A common stock and Series B common stock that is held by non-affiliates exceeds $700 million, our annual gross revenues exceed $1.235 billion or we issue more than $1.0 billion of non-convertible debt in any three-year period, we will cease to be an emerging growth company prior to the end of such five-year period. We have elected to take advantage of these reduced disclosure obligations in the registration statement of which this prospectus is a part and may elect to take advantage of other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reporting requirements in future filings. As a result of these elections, the information that we provide to our stockholders may be different than you might receive from other public reporting companies.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JOBS Act provides that an emerging growth company can take advantage of an extended transition period for complying with new or revised accounting standards. This provision allows an emerging growth company to delay adopting new or revised accounting standards until such time as those standards would otherwise apply to private companies. We have elected to avail ourselves of this exemption and as a result, we will not be subject to the same new or revised accounting standards as other public companies that comply with the public company effective dates. </w:t>
      </w:r>
    </w:p>
    <w:p>
      <w:pPr>
        <w:pStyle w:val="TextBody"/>
        <w:bidi w:val="0"/>
        <w:spacing w:before="240" w:after="0"/>
        <w:jc w:val="left"/>
        <w:rPr>
          <w:rFonts w:ascii="Times New Roman" w:hAnsi="Times New Roman"/>
          <w:sz w:val="20"/>
        </w:rPr>
      </w:pPr>
      <w:r>
        <w:rPr>
          <w:rFonts w:ascii="Times New Roman" w:hAnsi="Times New Roman"/>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68394_6"/>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68394_7"/>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68394_8"/>
      <w:bookmarkEnd w:id="25"/>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capital stock is not complete and may not contain all the information you should consider before investing in our capital stock. This description is summarized from, and qualified in its entirety by reference to, our Eleventh Amended and Restated Certificate of Incorporation (our certificate of incorporation) and our second amended and restated bylaws (our bylaws), each of which has been publicly filed with the SEC. See “Where You Can Find More Information.” For a complete description, you should refer to our certificate of incorporation and our bylaws, copies of which are incorporated by reference as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b/>
          <w:i/>
          <w:sz w:val="20"/>
        </w:rPr>
        <w:t>Authorized Capital Stock</w:t>
      </w:r>
      <w:r>
        <w:rPr>
          <w:rFonts w:ascii="Times New Roman" w:hAnsi="Times New Roman"/>
          <w:sz w:val="20"/>
        </w:rPr>
        <w:t xml:space="preserve">. Our authorized capital stock consists of (i) 500,000,000 shares of Series A common stock, par value $0.0001 per share, (ii) 15,000,000 shares of Series B common stock, par value $0.0001 per share and (iii) 10,000,000 shares of undesignated preferred stock, par value $0.0001 per share. As of August 14, 2024, there were 30,674,855 shares of Series A common stock outstanding, 1,520,490 shares of Series B common stock outstanding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Series A Common Stock and Series B Common Stock </w:t>
      </w:r>
    </w:p>
    <w:p>
      <w:pPr>
        <w:pStyle w:val="TextBody"/>
        <w:bidi w:val="0"/>
        <w:spacing w:before="12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The holders of our Series A common stock are entitled to one vote per share of Series A common stock on all matters submitted to a vote of the stockholders. Holders of our Series B common stock are not entitled to any votes per share of Series B common stock, including for the election of directors. Our Series A common stock and Series B common stock do not have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Holders of our common stock are entitled to receive ratably any dividends declared by our board of directors out of funds legally available for that purpose, subject to any preferential dividend rights of any outstanding preferred stock. </w:t>
      </w:r>
    </w:p>
    <w:p>
      <w:pPr>
        <w:pStyle w:val="TextBody"/>
        <w:bidi w:val="0"/>
        <w:spacing w:before="240" w:after="0"/>
        <w:jc w:val="left"/>
        <w:rPr>
          <w:rFonts w:ascii="Times New Roman" w:hAnsi="Times New Roman"/>
          <w:sz w:val="20"/>
        </w:rPr>
      </w:pPr>
      <w:r>
        <w:rPr>
          <w:rFonts w:ascii="Times New Roman" w:hAnsi="Times New Roman"/>
          <w:b/>
          <w:i/>
          <w:sz w:val="20"/>
        </w:rPr>
        <w:t>Liquidation and Dissolution</w:t>
      </w:r>
      <w:r>
        <w:rPr>
          <w:rFonts w:ascii="Times New Roman" w:hAnsi="Times New Roman"/>
          <w:sz w:val="20"/>
        </w:rPr>
        <w:t xml:space="preserve">. In the event of our liquidation or dissolution, the holders of our common stock are entitled to share ratably in all assets remaining after the payment of all debts and other liabilities and subject to the prior rights of any of our outstanding preferred stock. </w:t>
      </w:r>
    </w:p>
    <w:p>
      <w:pPr>
        <w:pStyle w:val="TextBody"/>
        <w:bidi w:val="0"/>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Holders of our common stock have no preemptive, subscription, redemption or conversion rights or sinking fund provisions, except that holders of our Series B common stock have the right to convert each share of our Series B common stock into one share of Series A common stock at such holder’s election, provided that as a result of such conversion, such holder would not beneficially own in excess of 4.99% of any series of our securities registered under the Exchange Act, except as expressly provided for in our certificate of incorporation. However, this ownership limitation may be increased or decreased to any other percentage designated by such holder of Series B common stock upon 61 days’ notice to us. The rights, preferences and privileges of holders of common stock are subject to and may be adversely affected by the rights of the holders of shares of any series of our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b/>
          <w:i/>
          <w:sz w:val="20"/>
        </w:rPr>
        <w:t>Exchange Listing</w:t>
      </w:r>
      <w:r>
        <w:rPr>
          <w:rFonts w:ascii="Times New Roman" w:hAnsi="Times New Roman"/>
          <w:sz w:val="20"/>
        </w:rPr>
        <w:t xml:space="preserve">. Our Series A common stock is listed on The Nasdaq Global Market under the symbol “SGMT.” </w:t>
      </w:r>
    </w:p>
    <w:p>
      <w:pPr>
        <w:pStyle w:val="TextBody"/>
        <w:bidi w:val="0"/>
        <w:spacing w:before="240" w:after="0"/>
        <w:jc w:val="left"/>
        <w:rPr>
          <w:rFonts w:ascii="Times New Roman" w:hAnsi="Times New Roman"/>
          <w:sz w:val="20"/>
        </w:rPr>
      </w:pPr>
      <w:r>
        <w:rPr>
          <w:rFonts w:ascii="Times New Roman" w:hAnsi="Times New Roman"/>
          <w:b/>
          <w:i/>
          <w:sz w:val="20"/>
        </w:rPr>
        <w:t>Transfer Agent and Registrar</w:t>
      </w:r>
      <w:r>
        <w:rPr>
          <w:rFonts w:ascii="Times New Roman" w:hAnsi="Times New Roman"/>
          <w:sz w:val="20"/>
        </w:rPr>
        <w:t xml:space="preserve">. The transfer agent and registrar for our Series A common stock and Series B common stock is Equiniti Trust Company, LLC. The transfer agent’s address is 6201 15th Avenue, Brooklyn, NY 11219.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board of directors has the authority, without further action by the stockholders, to issue up to 10,000,000 shares of preferred stock in one or more series, to establish from time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with voting or conversion rights could adversely affect the voting power or other rights of the holders of the Series A common stock or the Series B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Series A common stock and Series B common stock and may adversely affect the market price of the Series A common stock and the voting and other rights of the holders of Series A common stock and Series B common stock. We have no current plans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Delaware law, our certificate of incorporation and our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240" w:after="0"/>
        <w:jc w:val="left"/>
        <w:rPr>
          <w:rFonts w:ascii="Times New Roman" w:hAnsi="Times New Roman"/>
          <w:sz w:val="20"/>
        </w:rPr>
      </w:pPr>
      <w:r>
        <w:rPr>
          <w:rFonts w:ascii="Times New Roman" w:hAnsi="Times New Roman"/>
          <w:b/>
          <w:i/>
          <w:sz w:val="20"/>
        </w:rPr>
        <w:t>Section</w:t>
      </w:r>
      <w:r>
        <w:rPr>
          <w:rFonts w:ascii="Times New Roman" w:hAnsi="Times New Roman"/>
          <w:sz w:val="20"/>
        </w:rPr>
        <w:t> </w:t>
      </w:r>
      <w:r>
        <w:rPr>
          <w:rFonts w:ascii="Times New Roman" w:hAnsi="Times New Roman"/>
          <w:b/>
          <w:i/>
          <w:sz w:val="20"/>
        </w:rPr>
        <w:t>203 of the Delaware General Corporation Law</w:t>
      </w:r>
      <w:r>
        <w:rPr>
          <w:rFonts w:ascii="Times New Roman" w:hAnsi="Times New Roman"/>
          <w:i/>
          <w:sz w:val="20"/>
        </w:rPr>
        <w:t xml:space="preserve">. </w:t>
      </w:r>
      <w:r>
        <w:rPr>
          <w:rFonts w:ascii="Times New Roman" w:hAnsi="Times New Roman"/>
          <w:sz w:val="20"/>
        </w:rPr>
        <w:t xml:space="preserve">We are subject to Section 203 of the Delaware General Corporation Law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Series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 of Incorporation and Bylaws </w:t>
      </w:r>
    </w:p>
    <w:p>
      <w:pPr>
        <w:pStyle w:val="TextBody"/>
        <w:bidi w:val="0"/>
        <w:spacing w:before="120" w:after="0"/>
        <w:jc w:val="left"/>
        <w:rPr>
          <w:rFonts w:ascii="Times New Roman" w:hAnsi="Times New Roman"/>
          <w:sz w:val="20"/>
        </w:rPr>
      </w:pPr>
      <w:r>
        <w:rPr>
          <w:rFonts w:ascii="Times New Roman" w:hAnsi="Times New Roman"/>
          <w:i/>
          <w:sz w:val="20"/>
        </w:rPr>
        <w:t>Classified Board; Election and Removal of Directors</w:t>
      </w:r>
      <w:r>
        <w:rPr>
          <w:rFonts w:ascii="Times New Roman" w:hAnsi="Times New Roman"/>
          <w:sz w:val="20"/>
        </w:rPr>
        <w:t xml:space="preserve">. Our certificate of incorporation provides that our board of directors is divided into three classes, with each class serving staggered three-year terms. Our board of directors has the exclusive right to expand the size of our board of directors and to elect directors to fill a vacancy created by the expansion of the board of directors or the resignation, death, or removal of a director.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certificate of incorporation provides that all stockholder actions are required to be taken by a vote of the stockholders at an annual or special meeting, and that stockholders may not take any action by written consent in lieu of a meeting. A special meeting of stockholders may be called by a majority of our board of directors. Our bylaws have established an advance notice procedure for stockholder proposals to be brought before an annual meeting of our stockholders, including proposed nominations of persons for election to our board of directors. </w:t>
      </w:r>
    </w:p>
    <w:p>
      <w:pPr>
        <w:pStyle w:val="TextBody"/>
        <w:bidi w:val="0"/>
        <w:spacing w:before="240" w:after="0"/>
        <w:jc w:val="left"/>
        <w:rPr>
          <w:rFonts w:ascii="Times New Roman" w:hAnsi="Times New Roman"/>
          <w:sz w:val="20"/>
        </w:rPr>
      </w:pPr>
      <w:r>
        <w:rPr>
          <w:rFonts w:ascii="Times New Roman" w:hAnsi="Times New Roman"/>
          <w:i/>
          <w:sz w:val="20"/>
        </w:rPr>
        <w:t>Undesignated Preferred Stock</w:t>
      </w:r>
      <w:r>
        <w:rPr>
          <w:rFonts w:ascii="Times New Roman" w:hAnsi="Times New Roman"/>
          <w:sz w:val="20"/>
        </w:rPr>
        <w:t xml:space="preserve">. As discussed above, our board of directors has the ability to issue preferred stock with voting or other rights or preferences that could impede the success of any attempt to change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Choice of Forum</w:t>
      </w:r>
      <w:r>
        <w:rPr>
          <w:rFonts w:ascii="Times New Roman" w:hAnsi="Times New Roman"/>
          <w:sz w:val="20"/>
        </w:rPr>
        <w:t xml:space="preserve">. Our bylaws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certificate of incorporation or bylaws (including the interpretation, validity or enforceability thereof) or as to which the DGCL confers jurisdiction on the Court of Chancery of the State of Delaware, or (iv) any action asserting a claim governed by the internal affairs doctrine. </w:t>
      </w:r>
    </w:p>
    <w:p>
      <w:pPr>
        <w:pStyle w:val="TextBody"/>
        <w:bidi w:val="0"/>
        <w:spacing w:before="240" w:after="0"/>
        <w:jc w:val="left"/>
        <w:rPr>
          <w:rFonts w:ascii="Times New Roman" w:hAnsi="Times New Roman"/>
          <w:sz w:val="20"/>
        </w:rPr>
      </w:pPr>
      <w:r>
        <w:rPr>
          <w:rFonts w:ascii="Times New Roman" w:hAnsi="Times New Roman"/>
          <w:sz w:val="20"/>
        </w:rPr>
        <w:t xml:space="preserve">However, Section 27 of the Exchange Act creates exclusive federal jurisdiction over all claims brought to enforce any duty or liability created by the Exchange Act or the rules and regulations thereunder. Consequently, this choice of forum provision does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0"/>
        <w:jc w:val="left"/>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bylaws provide that any person or entity holding, owning or otherwise acquiring any interest in any of our securities shall be deemed to have notice of and consented to these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68394_9"/>
      <w:bookmarkEnd w:id="26"/>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the price or prices at which and in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i/>
          <w:sz w:val="20"/>
        </w:rPr>
        <w:t>Global Debt Securities and Book-Entry System</w:t>
      </w:r>
      <w:r>
        <w:rPr>
          <w:rFonts w:ascii="Times New Roman" w:hAnsi="Times New Roman"/>
          <w:sz w:val="20"/>
        </w:rPr>
        <w:t xml:space="preserve">.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Sagimet) is a corporation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Sagimet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Sagimet;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debt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68394_10"/>
      <w:bookmarkEnd w:id="27"/>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Series A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Series A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Series A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Series A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underlying debt securities or to enforce covenants in the applicable indenture. Until any warrants to purchase Series A common stock or preferred stock are exercised, the holders of the warrants will not have any rights of holders of the underlying Series A common stock or preferred stock, including any rights to receive dividends or payments upon any liquidation, dissolution or winding up on the Series A common stock or preferred stock,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68394_11"/>
      <w:bookmarkEnd w:id="28"/>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68394_12"/>
      <w:bookmarkEnd w:id="29"/>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our Series A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offer, if any, will, to the extent applicable, include specific terms relating to the offering,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our Series A common stock, preferred stock or debt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to be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our Series A common stock, preferred stock or debt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or an over-allotment privilege to the extent the securities are fully subscribed;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which may be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68394_13"/>
      <w:bookmarkEnd w:id="30"/>
      <w:r>
        <w:rPr>
          <w:rFonts w:ascii="Times New Roman" w:hAnsi="Times New Roman"/>
          <w:b/>
          <w:sz w:val="20"/>
        </w:rPr>
        <w:t xml:space="preserve">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(collectively,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information in this section and elsewhere in this prospectus concerning DTC and DTC’s book-entry system from sources that are believed to be reliable, but we take no responsibility for the accuracy of this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68394_14"/>
      <w:bookmarkEnd w:id="3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(as defined in Rule 415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method permitted by applicable law and described in a prospectus supplement.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before="240" w:after="0"/>
        <w:jc w:val="left"/>
        <w:rPr>
          <w:rFonts w:ascii="Times New Roman" w:hAnsi="Times New Roman"/>
          <w:sz w:val="20"/>
        </w:rPr>
      </w:pPr>
      <w:r>
        <w:rPr>
          <w:rFonts w:ascii="Times New Roman" w:hAnsi="Times New Roman"/>
          <w:sz w:val="20"/>
        </w:rPr>
        <w:t xml:space="preserve">Any Series A common stock or preferred stock will be listed on the Nasdaq Global Market, but any other securities may or may not be listed on a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offering of securities, and to the extent permitted by and in accordance with Regulation M under the Exchange Act, certain persons participating in the offering may engage in transactions that stabilize,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w:t>
      </w:r>
    </w:p>
    <w:p>
      <w:pPr>
        <w:pStyle w:val="TextBody"/>
        <w:bidi w:val="0"/>
        <w:spacing w:before="240" w:after="0"/>
        <w:jc w:val="left"/>
        <w:rPr>
          <w:rFonts w:ascii="Times New Roman" w:hAnsi="Times New Roman"/>
          <w:sz w:val="20"/>
        </w:rPr>
      </w:pPr>
      <w:r>
        <w:rPr>
          <w:rFonts w:ascii="Times New Roman" w:hAnsi="Times New Roman"/>
          <w:sz w:val="20"/>
        </w:rPr>
        <w:t xml:space="preserve">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No securities may be sold under this prospectus without delivery, in paper format or in electronic format, or both, of the applicable prospectus supplement describing the method and terms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68394_15"/>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will pass upon certain legal matters relating to the issuance and sale of the securities offered hereby on behalf of Sagimet Biosciences Inc.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3" w:name="toc68394_16"/>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Sagimet Biosciences Inc. as of December 31, 2023 and 2022, and for each of the two years in the period ended December 31, 2023, incorporated by reference in this Prospectus by reference to Sagimet Biosciences Inc.’s </w:t>
      </w:r>
      <w:r>
        <w:rPr>
          <w:rFonts w:ascii="Times New Roman" w:hAnsi="Times New Roman"/>
          <w:sz w:val="20"/>
          <w:u w:val="single"/>
        </w:rPr>
        <w:t>annual report on Form 10-K for the year ended December 31, 2023</w:t>
      </w:r>
      <w:r>
        <w:rPr>
          <w:rFonts w:ascii="Times New Roman" w:hAnsi="Times New Roman"/>
          <w:sz w:val="20"/>
        </w:rPr>
        <w:t xml:space="preserve">,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65170" cy="11995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6"/>
                    <a:stretch>
                      <a:fillRect/>
                    </a:stretch>
                  </pic:blipFill>
                  <pic:spPr bwMode="auto">
                    <a:xfrm>
                      <a:off x="0" y="0"/>
                      <a:ext cx="3265170" cy="11995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8,750,010 Shares of Series A Common Stock </w:t>
      </w:r>
    </w:p>
    <w:p>
      <w:pPr>
        <w:pStyle w:val="TextBody"/>
        <w:bidi w:val="0"/>
        <w:spacing w:before="120" w:after="0"/>
        <w:jc w:val="center"/>
        <w:rPr>
          <w:rFonts w:ascii="Times New Roman" w:hAnsi="Times New Roman"/>
          <w:b/>
          <w:sz w:val="28"/>
        </w:rPr>
      </w:pPr>
      <w:r>
        <w:rPr>
          <w:rFonts w:ascii="Times New Roman" w:hAnsi="Times New Roman"/>
          <w:b/>
          <w:sz w:val="28"/>
        </w:rPr>
        <w:t xml:space="preserve">Pre-Funded Warrants to Purchase 2,750,010 Shares of Series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PROSPECTUS SUPPLEMENT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41"/>
        <w:gridCol w:w="101"/>
        <w:gridCol w:w="1837"/>
        <w:gridCol w:w="101"/>
        <w:gridCol w:w="3369"/>
        <w:gridCol w:w="101"/>
        <w:gridCol w:w="2655"/>
      </w:tblGrid>
      <w:tr>
        <w:trPr/>
        <w:tc>
          <w:tcPr>
            <w:tcW w:w="20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b/>
              </w:rPr>
            </w:pPr>
            <w:r>
              <w:rPr>
                <w:b/>
              </w:rPr>
              <w:t>Leerink Partners</w:t>
            </w:r>
          </w:p>
        </w:tc>
        <w:tc>
          <w:tcPr>
            <w:tcW w:w="101"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b/>
              </w:rPr>
            </w:pPr>
            <w:r>
              <w:rPr>
                <w:b/>
              </w:rPr>
              <w:t>TD Cowen </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center"/>
              <w:rPr>
                <w:b/>
              </w:rPr>
            </w:pPr>
            <w:r>
              <w:rPr>
                <w:b/>
              </w:rPr>
              <w:t>Guggenheim Securities </w:t>
            </w:r>
          </w:p>
        </w:tc>
        <w:tc>
          <w:tcPr>
            <w:tcW w:w="101" w:type="dxa"/>
            <w:tcBorders/>
            <w:vAlign w:val="bottom"/>
          </w:tcPr>
          <w:p>
            <w:pPr>
              <w:pStyle w:val="TableContents"/>
              <w:bidi w:val="0"/>
              <w:spacing w:before="0" w:after="283"/>
              <w:jc w:val="left"/>
              <w:rPr/>
            </w:pPr>
            <w:r>
              <w:rPr/>
              <w:t> </w:t>
            </w:r>
          </w:p>
        </w:tc>
        <w:tc>
          <w:tcPr>
            <w:tcW w:w="2655" w:type="dxa"/>
            <w:tcBorders/>
          </w:tcPr>
          <w:p>
            <w:pPr>
              <w:pStyle w:val="TableContents"/>
              <w:bidi w:val="0"/>
              <w:spacing w:before="0" w:after="283"/>
              <w:jc w:val="right"/>
              <w:rPr>
                <w:b/>
              </w:rPr>
            </w:pPr>
            <w:r>
              <w:rPr>
                <w:b/>
              </w:rPr>
              <w:t>Oppenheimer &amp; Co.</w:t>
            </w:r>
          </w:p>
        </w:tc>
      </w:tr>
    </w:tbl>
    <w:p>
      <w:pPr>
        <w:pStyle w:val="TextBody"/>
        <w:bidi w:val="0"/>
        <w:spacing w:before="360" w:after="0"/>
        <w:jc w:val="center"/>
        <w:rPr>
          <w:rFonts w:ascii="Times New Roman" w:hAnsi="Times New Roman"/>
          <w:b/>
          <w:i/>
          <w:sz w:val="20"/>
        </w:rPr>
      </w:pPr>
      <w:r>
        <w:rPr>
          <w:rFonts w:ascii="Times New Roman" w:hAnsi="Times New Roman"/>
          <w:b/>
          <w:i/>
          <w:sz w:val="20"/>
        </w:rPr>
        <w:t xml:space="preserve">Co-Lead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2"/>
        <w:gridCol w:w="101"/>
        <w:gridCol w:w="3879"/>
        <w:gridCol w:w="102"/>
        <w:gridCol w:w="1632"/>
        <w:gridCol w:w="101"/>
        <w:gridCol w:w="1838"/>
      </w:tblGrid>
      <w:tr>
        <w:trPr/>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552" w:type="dxa"/>
            <w:tcBorders/>
          </w:tcPr>
          <w:p>
            <w:pPr>
              <w:pStyle w:val="TableContents"/>
              <w:bidi w:val="0"/>
              <w:spacing w:before="0" w:after="283"/>
              <w:jc w:val="left"/>
              <w:rPr>
                <w:b/>
              </w:rPr>
            </w:pPr>
            <w:r>
              <w:rPr>
                <w:b/>
              </w:rPr>
              <w:t>Canaccord Genuity</w:t>
            </w:r>
          </w:p>
        </w:tc>
        <w:tc>
          <w:tcPr>
            <w:tcW w:w="101"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center"/>
              <w:rPr/>
            </w:pPr>
            <w:r>
              <w:rPr/>
              <w:t> </w:t>
            </w:r>
            <w:r>
              <w:rPr>
                <w:b/>
              </w:rPr>
              <w:t>H.C. Wainwright &amp; Co.</w:t>
            </w:r>
          </w:p>
        </w:tc>
        <w:tc>
          <w:tcPr>
            <w:tcW w:w="102" w:type="dxa"/>
            <w:tcBorders/>
            <w:vAlign w:val="bottom"/>
          </w:tcPr>
          <w:p>
            <w:pPr>
              <w:pStyle w:val="TableContents"/>
              <w:bidi w:val="0"/>
              <w:spacing w:before="0" w:after="283"/>
              <w:jc w:val="left"/>
              <w:rPr/>
            </w:pPr>
            <w:r>
              <w:rPr/>
              <w:t> </w:t>
            </w:r>
          </w:p>
        </w:tc>
        <w:tc>
          <w:tcPr>
            <w:tcW w:w="1632" w:type="dxa"/>
            <w:tcBorders/>
          </w:tcPr>
          <w:p>
            <w:pPr>
              <w:pStyle w:val="TableContents"/>
              <w:bidi w:val="0"/>
              <w:spacing w:before="0" w:after="283"/>
              <w:jc w:val="center"/>
              <w:rPr>
                <w:b/>
              </w:rPr>
            </w:pPr>
            <w:r>
              <w:rPr>
                <w:b/>
              </w:rPr>
              <w:t>Jones</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right"/>
              <w:rPr>
                <w:b/>
              </w:rPr>
            </w:pPr>
            <w:r>
              <w:rPr>
                <w:b/>
              </w:rPr>
              <w:t>Clear Street</w:t>
            </w:r>
          </w:p>
        </w:tc>
      </w:tr>
    </w:tbl>
    <w:p>
      <w:pPr>
        <w:pStyle w:val="TextBody"/>
        <w:bidi w:val="0"/>
        <w:spacing w:before="600" w:after="0"/>
        <w:jc w:val="center"/>
        <w:rPr>
          <w:rFonts w:ascii="Times New Roman" w:hAnsi="Times New Roman"/>
          <w:b/>
          <w:sz w:val="20"/>
        </w:rPr>
      </w:pPr>
      <w:r>
        <w:rPr>
          <w:rFonts w:ascii="Times New Roman" w:hAnsi="Times New Roman"/>
          <w:b/>
          <w:sz w:val="20"/>
        </w:rPr>
        <w:t xml:space="preserve">September 30,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400118/000110465926026140/sgmt-20251231x10k.htm" TargetMode="External"/><Relationship Id="rId4" Type="http://schemas.openxmlformats.org/officeDocument/2006/relationships/hyperlink" Target="http://www.sec.gov/Archives/edgar/data/../../../ix?doc=/Archives/edgar/data/1400118/000110465926026140/sgmt-20251231x10k.htm" TargetMode="External"/><Relationship Id="rId5" Type="http://schemas.openxmlformats.org/officeDocument/2006/relationships/hyperlink" Target="http://www.sec.gov/Archives/edgar/data/../../../ix?doc=/Archives/edgar/data/0001400118/000110465926059006/sgmt-20260331x10q.htm" TargetMode="External"/><Relationship Id="rId6" Type="http://schemas.openxmlformats.org/officeDocument/2006/relationships/hyperlink" Target="http://www.sec.gov/Archives/edgar/data/../../../ix?doc=/Archives/edgar/data/0001400118/000119312526343441/sgmt-20260630.htm" TargetMode="External"/><Relationship Id="rId7" Type="http://schemas.openxmlformats.org/officeDocument/2006/relationships/hyperlink" Target="http://www.sec.gov/Archives/edgar/data/../../../ix?doc=/Archives/edgar/data/1400118/000110465926026140/sgmt-20251231x10k.htm" TargetMode="External"/><Relationship Id="rId8" Type="http://schemas.openxmlformats.org/officeDocument/2006/relationships/hyperlink" Target="http://www.sec.gov/Archives/edgar/data/../../../ix?doc=/Archives/edgar/data/1400118/000110465926046006/tm261563-1_def14a.htm" TargetMode="External"/><Relationship Id="rId9" Type="http://schemas.openxmlformats.org/officeDocument/2006/relationships/hyperlink" Target="http://www.sec.gov/Archives/edgar/data/../../../ix?doc=/Archives/edgar/data/1400118/000110465926045629/tm2612312d1_8k.htm" TargetMode="External"/><Relationship Id="rId10" Type="http://schemas.openxmlformats.org/officeDocument/2006/relationships/hyperlink" Target="http://www.sec.gov/Archives/edgar/data/../../../ix?doc=/Archives/edgar/data/1400118/000110465926048971/tm2612738d2_8k.htm" TargetMode="External"/><Relationship Id="rId11" Type="http://schemas.openxmlformats.org/officeDocument/2006/relationships/hyperlink" Target="http://www.sec.gov/Archives/edgar/data/../../../ix?doc=/Archives/edgar/data/0001400118/000110465926049756/tm2612794d2_8k.htm" TargetMode="External"/><Relationship Id="rId12" Type="http://schemas.openxmlformats.org/officeDocument/2006/relationships/hyperlink" Target="http://www.sec.gov/Archives/edgar/data/../../../ix?doc=/Archives/edgar/data/0001400118/000110465926070126/tm2616747d1_8k.htm" TargetMode="External"/><Relationship Id="rId13" Type="http://schemas.openxmlformats.org/officeDocument/2006/relationships/hyperlink" Target="http://www.sec.gov/Archives/edgar/data/../../../ix?doc=/Archives/edgar/data/0001400118/000110465926073431/tm2617560d1_8k.htm" TargetMode="External"/><Relationship Id="rId14" Type="http://schemas.openxmlformats.org/officeDocument/2006/relationships/hyperlink" Target="http://www.sec.gov/Archives/edgar/data/../../../ix?doc=/Archives/edgar/data/0001400118/000119312526347854/d150919d8k.htm" TargetMode="External"/><Relationship Id="rId15" Type="http://schemas.openxmlformats.org/officeDocument/2006/relationships/hyperlink" Target="http://www.sec.gov/Archives/edgar/data/../../../ix?doc=/Archives/edgar/data/1400118/000119312526408224/d96035d8k.htm" TargetMode="External"/><Relationship Id="rId16" Type="http://schemas.openxmlformats.org/officeDocument/2006/relationships/hyperlink" Target="http://www.sec.gov/Archives/edgar/data/1400118/000110465923079973/tm237052d18_8a12b.htm" TargetMode="External"/><Relationship Id="rId17" Type="http://schemas.openxmlformats.org/officeDocument/2006/relationships/hyperlink" Target="http://www.sec.gov/Archives/edgar/data/1400118/000155837024003812/sgmt-20231231xex4d3.htm" TargetMode="External"/><Relationship Id="rId18" Type="http://schemas.openxmlformats.org/officeDocument/2006/relationships/image" Target="media/image1.jpeg"/><Relationship Id="rId19" Type="http://schemas.openxmlformats.org/officeDocument/2006/relationships/hyperlink" Target="http://www.sec.gov/Archives/edgar/data/../../../ix?doc=/Archives/edgar/data/1400118/000155837024003812/sgmt-20231231x10k.htm" TargetMode="External"/><Relationship Id="rId20" Type="http://schemas.openxmlformats.org/officeDocument/2006/relationships/hyperlink" Target="http://www.sec.gov/Archives/edgar/data/../../../ix?doc=/Archives/edgar/data/1400118/000155837024008205/sgmt-20240331x10q.htm" TargetMode="External"/><Relationship Id="rId21" Type="http://schemas.openxmlformats.org/officeDocument/2006/relationships/hyperlink" Target="http://www.sec.gov/Archives/edgar/data/../../../ix?doc=/Archives/edgar/data/1400118/000155837024012136/sgmt-20240630x10q.htm" TargetMode="External"/><Relationship Id="rId22" Type="http://schemas.openxmlformats.org/officeDocument/2006/relationships/hyperlink" Target="http://www.sec.gov/Archives/edgar/data/../../../ix?doc=/Archives/edgar/data/1400118/000155837024003812/sgmt-20231231x10k.htm" TargetMode="External"/><Relationship Id="rId23" Type="http://schemas.openxmlformats.org/officeDocument/2006/relationships/hyperlink" Target="http://www.sec.gov/Archives/edgar/data/1400118/000110465924048534/tm2411865-1_def14.htm" TargetMode="External"/><Relationship Id="rId24" Type="http://schemas.openxmlformats.org/officeDocument/2006/relationships/hyperlink" Target="http://www.sec.gov/Archives/edgar/data/../../../ix?doc=/Archives/edgar/data/1400118/000110465924005399/tm2333216d8_8k.htm" TargetMode="External"/><Relationship Id="rId25" Type="http://schemas.openxmlformats.org/officeDocument/2006/relationships/hyperlink" Target="http://www.sec.gov/Archives/edgar/data/../../../ix?doc=/Archives/edgar/data/1400118/000110465924008230/tm244525d1_8k.htm" TargetMode="External"/><Relationship Id="rId26" Type="http://schemas.openxmlformats.org/officeDocument/2006/relationships/hyperlink" Target="http://www.sec.gov/Archives/edgar/data/../../../ix?doc=/Archives/edgar/data/1400118/000110465924010085/tm245129d1_8k.htm" TargetMode="External"/><Relationship Id="rId27" Type="http://schemas.openxmlformats.org/officeDocument/2006/relationships/hyperlink" Target="http://www.sec.gov/Archives/edgar/data/../../../ix?doc=/Archives/edgar/data/1400118/000110465924038101/tm249600d1_8k.htm" TargetMode="External"/><Relationship Id="rId28" Type="http://schemas.openxmlformats.org/officeDocument/2006/relationships/hyperlink" Target="http://www.sec.gov/Archives/edgar/data/../../../ix?doc=/Archives/edgar/data/1400118/000110465924057228/tm2413539d1_8k.htm" TargetMode="External"/><Relationship Id="rId29" Type="http://schemas.openxmlformats.org/officeDocument/2006/relationships/hyperlink" Target="http://www.sec.gov/Archives/edgar/data/../../../ix?doc=/Archives/edgar/data/1400118/000110465924068817/tm2416614d1_8k.htm" TargetMode="External"/><Relationship Id="rId30" Type="http://schemas.openxmlformats.org/officeDocument/2006/relationships/hyperlink" Target="http://www.sec.gov/Archives/edgar/data/../../../ix?doc=/Archives/edgar/data/1400118/000110465924071014/tm2417159d1_8ka.htm" TargetMode="External"/><Relationship Id="rId31" Type="http://schemas.openxmlformats.org/officeDocument/2006/relationships/hyperlink" Target="http://www.sec.gov/Archives/edgar/data/../../../ix?doc=/Archives/edgar/data/1400118/000110465924077430/tm2418784d1_8k.htm" TargetMode="External"/><Relationship Id="rId32" Type="http://schemas.openxmlformats.org/officeDocument/2006/relationships/hyperlink" Target="http://www.sec.gov/Archives/edgar/data/../../../ix?doc=/Archives/edgar/data/1400118/000110465924084645/tm2420572d1_8k.htm" TargetMode="External"/><Relationship Id="rId33" Type="http://schemas.openxmlformats.org/officeDocument/2006/relationships/hyperlink" Target="http://www.sec.gov/Archives/edgar/data/../../../ix?doc=/Archives/edgar/data/1400118/000110465924089340/tm2421625d1_8k.htm" TargetMode="External"/><Relationship Id="rId34" Type="http://schemas.openxmlformats.org/officeDocument/2006/relationships/hyperlink" Target="http://www.sec.gov/Archives/edgar/data/1400118/000110465923079973/tm237052d18_8a12b.htm" TargetMode="External"/><Relationship Id="rId35" Type="http://schemas.openxmlformats.org/officeDocument/2006/relationships/hyperlink" Target="http://www.sec.gov/Archives/edgar/data/1400118/000110465923074215/tm237052d7_ex4-1.htm" TargetMode="External"/><Relationship Id="rId36" Type="http://schemas.openxmlformats.org/officeDocument/2006/relationships/image" Target="media/image2.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39559</Words>
  <Characters>209894</Characters>
  <CharactersWithSpaces>250264</CharactersWithSpaces>
  <Paragraphs>2781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