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5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9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r>
        <w:rPr>
          <w:rFonts w:ascii="Times New Roman" w:cs="Times New Roman" w:eastAsia="Times New Roman" w:hAnsi="Times New Roman"/>
          <w:sz w:val="17"/>
          <w:szCs w:val="17"/>
          <w:b w:val="1"/>
          <w:bCs w:val="1"/>
          <w:color w:val="auto"/>
        </w:rPr>
        <w:t>​</w:t>
      </w:r>
    </w:p>
    <w:p>
      <w:pPr>
        <w:spacing w:after="0" w:line="3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55"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44" w:lineRule="exact"/>
        <w:rPr>
          <w:sz w:val="24"/>
          <w:szCs w:val="24"/>
          <w:color w:val="auto"/>
        </w:rPr>
      </w:pPr>
    </w:p>
    <w:p>
      <w:pPr>
        <w:ind w:left="1580" w:hanging="320"/>
        <w:spacing w:after="0"/>
        <w:tabs>
          <w:tab w:leader="none" w:pos="1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22" w:lineRule="exact"/>
        <w:rPr>
          <w:sz w:val="24"/>
          <w:szCs w:val="24"/>
          <w:color w:val="auto"/>
        </w:rPr>
      </w:pPr>
    </w:p>
    <w:p>
      <w:pPr>
        <w:ind w:left="1260" w:right="5199"/>
        <w:spacing w:after="0" w:line="391" w:lineRule="auto"/>
        <w:tabs>
          <w:tab w:leader="none" w:pos="157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 Check the appropriate box:</w:t>
      </w:r>
    </w:p>
    <w:p>
      <w:pPr>
        <w:spacing w:after="0" w:line="3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Preliminary Proxy Statement</w:t>
      </w:r>
    </w:p>
    <w:p>
      <w:pPr>
        <w:spacing w:after="0" w:line="144" w:lineRule="exact"/>
        <w:rPr>
          <w:rFonts w:ascii="MS PGothic" w:cs="MS PGothic" w:eastAsia="MS PGothic" w:hAnsi="MS PGothic"/>
          <w:sz w:val="18"/>
          <w:szCs w:val="18"/>
          <w:color w:val="auto"/>
          <w:highlight w:val="black"/>
        </w:rPr>
      </w:pPr>
    </w:p>
    <w:p>
      <w:pPr>
        <w:ind w:left="1620" w:hanging="360"/>
        <w:spacing w:after="0"/>
        <w:tabs>
          <w:tab w:leader="none" w:pos="16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Definitive Additional Materials</w:t>
      </w:r>
    </w:p>
    <w:p>
      <w:pPr>
        <w:spacing w:after="0" w:line="144" w:lineRule="exact"/>
        <w:rPr>
          <w:rFonts w:ascii="MS PGothic" w:cs="MS PGothic" w:eastAsia="MS PGothic" w:hAnsi="MS PGothic"/>
          <w:sz w:val="18"/>
          <w:szCs w:val="18"/>
          <w:color w:val="auto"/>
          <w:highlight w:val="black"/>
        </w:rPr>
      </w:pPr>
    </w:p>
    <w:p>
      <w:pPr>
        <w:ind w:left="1620" w:hanging="360"/>
        <w:spacing w:after="0"/>
        <w:tabs>
          <w:tab w:leader="none" w:pos="1620" w:val="left"/>
        </w:tabs>
        <w:numPr>
          <w:ilvl w:val="0"/>
          <w:numId w:val="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139700</wp:posOffset>
            </wp:positionV>
            <wp:extent cx="3197225" cy="1139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97225" cy="1139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SAGIMET BIOSCIENCES INC.</w:t>
      </w:r>
    </w:p>
    <w:p>
      <w:pPr>
        <w:spacing w:after="0" w:line="5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2680335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509905</wp:posOffset>
            </wp:positionV>
            <wp:extent cx="2322830" cy="831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83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155 Bovet Road, Suite 303</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San Mateo, California 94402</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June 12, 2026</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21,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or the Annual Meeting, of Sagimet Biosciences Inc., or the Company, we, us, which will be held at 9:30 a.m., Pacific Time, on Friday, June 12, 2026.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and reduces the environmental impact of our Annual Meeting. The Annual Meeting can be accessed via the internet at https://web.lumiconnect.com/217605655, using the password sagimet2026.</w:t>
      </w:r>
    </w:p>
    <w:p>
      <w:pPr>
        <w:spacing w:after="0" w:line="121"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Details regarding the business to be conducted at the Annual Meeting are more fully described in the accompanying Notice of 2026 Annual Meeting of Stockholders, or the Notice, and 2026 Annual Meeting Proxy Statement, or the Proxy Statement. Other than the proposals described in the Proxy Statement, our Board of Directors, or Board, is not aware of any other matters to be presented for a vote at the Annual Meeting. We are pleased to offer our proxy materials over the internet as permitted by Securities and Exchange Commission, or SEC, rules.</w:t>
      </w:r>
    </w:p>
    <w:p>
      <w:pPr>
        <w:spacing w:after="0" w:line="102" w:lineRule="exact"/>
        <w:rPr>
          <w:sz w:val="20"/>
          <w:szCs w:val="20"/>
          <w:color w:val="auto"/>
        </w:rPr>
      </w:pPr>
    </w:p>
    <w:p>
      <w:pPr>
        <w:jc w:val="both"/>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virtually attend the Annual Meeting, we encourage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to vote as soon as possible to ensure that your shares are represented. Information about voting methods is set forth in the accompanying Notice and Proxy Statement.</w:t>
      </w:r>
    </w:p>
    <w:p>
      <w:pPr>
        <w:spacing w:after="0" w:line="107"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with respect to voting, please email our Chief Legal &amp; Administrative Officer, Elizabeth Rozek, Esq., at legal@sagimet.com.</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39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George Kemble, Ph.D.</w:t>
            </w:r>
          </w:p>
        </w:tc>
        <w:tc>
          <w:tcPr>
            <w:tcW w:w="2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 David Happel</w:t>
            </w:r>
          </w:p>
        </w:tc>
      </w:tr>
      <w:tr>
        <w:trPr>
          <w:trHeight w:val="54"/>
        </w:trPr>
        <w:tc>
          <w:tcPr>
            <w:tcW w:w="4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George Kemble, Ph.D.</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David Happel</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THIS PROXY STATEMENT AND ENCLOSED PROXY CARD ARE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FIRST BEING MADE AVAILABLE TO STOCKHOLDERS ON OR ABOUT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1913255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509905</wp:posOffset>
            </wp:positionV>
            <wp:extent cx="2322830"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83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5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June 12,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Dear Stockholders:</w:t>
      </w:r>
    </w:p>
    <w:p>
      <w:pPr>
        <w:spacing w:after="0" w:line="158"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2026 Annual Meeting of Stockholders of Sagimet Biosciences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or the Annual Meeting, will be held on Friday, June 12, 2026, at 9:30 a.m., Pacific Time. The Annual Meeting will be held in a virtual meeting format only. We are holding the meeting for the purpose of considering and acting upon:</w:t>
      </w:r>
    </w:p>
    <w:p>
      <w:pPr>
        <w:spacing w:after="0" w:line="113" w:lineRule="exact"/>
        <w:rPr>
          <w:sz w:val="20"/>
          <w:szCs w:val="20"/>
          <w:color w:val="auto"/>
        </w:rPr>
      </w:pPr>
    </w:p>
    <w:p>
      <w:pPr>
        <w:jc w:val="both"/>
        <w:ind w:left="1980" w:right="53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four director nominees who are set forth in the attached 2026 Annual Meeting Proxy Statement, or the Proxy Statement, to serve as Class III directors whose term will expire in 2029;</w:t>
      </w:r>
    </w:p>
    <w:p>
      <w:pPr>
        <w:spacing w:after="0" w:line="94"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or KPMG, as our independent registered public accounting firm for the 2026 fiscal year;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that may properly be brought before the Annual Meeting or any adjournment or postponement thereof.</w:t>
      </w:r>
    </w:p>
    <w:p>
      <w:pPr>
        <w:spacing w:after="0" w:line="9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 INFORMATION</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Website Address: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9:30 a.m., Pacific Time</w:t>
      </w:r>
    </w:p>
    <w:p>
      <w:pPr>
        <w:spacing w:after="0" w:line="77" w:lineRule="exact"/>
        <w:rPr>
          <w:sz w:val="20"/>
          <w:szCs w:val="20"/>
          <w:color w:val="auto"/>
        </w:rPr>
      </w:pPr>
    </w:p>
    <w:p>
      <w:pPr>
        <w:ind w:right="499"/>
        <w:spacing w:after="0" w:line="266" w:lineRule="auto"/>
        <w:rPr>
          <w:sz w:val="20"/>
          <w:szCs w:val="20"/>
          <w:color w:val="auto"/>
        </w:rPr>
      </w:pPr>
      <w:r>
        <w:rPr>
          <w:rFonts w:ascii="Times New Roman" w:cs="Times New Roman" w:eastAsia="Times New Roman" w:hAnsi="Times New Roman"/>
          <w:sz w:val="18"/>
          <w:szCs w:val="18"/>
          <w:color w:val="auto"/>
        </w:rPr>
        <w:t>The meeting can be accessed by visiting https://web.lumiconnect.com/217605655 (password: sagimet2026), where you will be able to listen to the meeting live, submit questions and vote online. There will be no physical location for stockholders to attend.</w:t>
      </w:r>
    </w:p>
    <w:p>
      <w:pPr>
        <w:spacing w:after="0" w:line="10" w:lineRule="exact"/>
        <w:rPr>
          <w:sz w:val="20"/>
          <w:szCs w:val="20"/>
          <w:color w:val="auto"/>
        </w:rPr>
      </w:pPr>
    </w:p>
    <w:p>
      <w:pPr>
        <w:sectPr>
          <w:pgSz w:w="11900" w:h="16838" w:orient="portrait"/>
          <w:cols w:equalWidth="0" w:num="2">
            <w:col w:w="2540" w:space="220"/>
            <w:col w:w="7119"/>
          </w:cols>
          <w:pgMar w:left="580" w:top="97" w:right="1440" w:bottom="1440" w:gutter="0" w:footer="0" w:header="0"/>
          <w:type w:val="continuous"/>
        </w:sectPr>
      </w:pPr>
    </w:p>
    <w:p>
      <w:pPr>
        <w:ind w:left="126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Record Date:</w:t>
      </w:r>
      <w:r>
        <w:rPr>
          <w:sz w:val="20"/>
          <w:szCs w:val="20"/>
          <w:color w:val="auto"/>
        </w:rPr>
        <w:tab/>
      </w:r>
      <w:r>
        <w:rPr>
          <w:rFonts w:ascii="Times New Roman" w:cs="Times New Roman" w:eastAsia="Times New Roman" w:hAnsi="Times New Roman"/>
          <w:sz w:val="18"/>
          <w:szCs w:val="18"/>
          <w:color w:val="auto"/>
        </w:rPr>
        <w:t>You can vote if you were a stockholder of record on April 17, 2026.</w:t>
      </w:r>
    </w:p>
    <w:p>
      <w:pPr>
        <w:spacing w:after="0" w:line="144" w:lineRule="exact"/>
        <w:rPr>
          <w:sz w:val="20"/>
          <w:szCs w:val="20"/>
          <w:color w:val="auto"/>
        </w:rPr>
      </w:pPr>
    </w:p>
    <w:p>
      <w:pPr>
        <w:jc w:val="both"/>
        <w:ind w:left="1260" w:right="5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Your vote matters</w:t>
      </w:r>
      <w:r>
        <w:rPr>
          <w:rFonts w:ascii="Times New Roman" w:cs="Times New Roman" w:eastAsia="Times New Roman" w:hAnsi="Times New Roman"/>
          <w:sz w:val="18"/>
          <w:szCs w:val="18"/>
          <w:i w:val="1"/>
          <w:iCs w:val="1"/>
          <w:color w:val="auto"/>
        </w:rPr>
        <w:t>. Whether or not you plan to virtually attend the Annual Meeting, please ensure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your shares are represented by voting, signing, dating and returning your proxy in the enclosed envelope, which requires no postage if mailed in the United States.</w:t>
      </w:r>
    </w:p>
    <w:p>
      <w:pPr>
        <w:spacing w:after="0" w:line="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Elizabeth Rozek,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Elizabeth Rozek, Esq.</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Chief Legal &amp; Administrative Officer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April 21, 2026</w:t>
      </w:r>
    </w:p>
    <w:p>
      <w:pPr>
        <w:spacing w:after="0" w:line="13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This Proxy Statement and the proxy card are being furnished to our stockholders on or about April 21, 2026. This Proxy Statement and our Annual Report on Form 10-K for the fiscal year ended December 31, 2025, or the 2025 Annual Report, are available to holders of our common stock at www.astproxyportal.com/ast/27458. If you would like to receive, without charge, a paper copy of our 2025 Annual Report, including the financial statements therein, please send your request to: Chief Legal &amp; Administrative Officer, Sagimet Biosciences Inc., 155 Bovet Road, Suite 303, San Mateo, California 94402.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580390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SUMMARY INFORMATION</w:t>
      </w:r>
    </w:p>
    <w:p>
      <w:pPr>
        <w:spacing w:after="0" w:line="162"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and our Annual Report on Form 10-K for the fiscal year ended December 31, 2025, or the 2025 Annual Report. This summary does not contain all of the information you should consider and we encourage you to read this Proxy Statement and the 2025 Annual Report carefully before voting.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5B66E5"/>
              </w:rPr>
              <w:t>TIME AND DATE</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5B66E5"/>
                <w:w w:val="98"/>
              </w:rPr>
              <w:t>RECORD DATE</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3"/>
          </w:tcPr>
          <w:p>
            <w:pPr>
              <w:jc w:val="center"/>
              <w:ind w:right="1079"/>
              <w:spacing w:after="0"/>
              <w:rPr>
                <w:sz w:val="20"/>
                <w:szCs w:val="20"/>
                <w:color w:val="auto"/>
              </w:rPr>
            </w:pPr>
            <w:r>
              <w:rPr>
                <w:rFonts w:ascii="Times New Roman" w:cs="Times New Roman" w:eastAsia="Times New Roman" w:hAnsi="Times New Roman"/>
                <w:sz w:val="14"/>
                <w:szCs w:val="14"/>
                <w:b w:val="1"/>
                <w:bCs w:val="1"/>
                <w:color w:val="5B66E5"/>
              </w:rPr>
              <w:t>WEBSITE ADDRESS</w:t>
            </w:r>
          </w:p>
        </w:tc>
        <w:tc>
          <w:tcPr>
            <w:tcW w:w="0" w:type="dxa"/>
            <w:vAlign w:val="bottom"/>
          </w:tcPr>
          <w:p>
            <w:pPr>
              <w:spacing w:after="0"/>
              <w:rPr>
                <w:sz w:val="1"/>
                <w:szCs w:val="1"/>
                <w:color w:val="auto"/>
              </w:rPr>
            </w:pPr>
          </w:p>
        </w:tc>
      </w:tr>
      <w:tr>
        <w:trPr>
          <w:trHeight w:val="37"/>
        </w:trPr>
        <w:tc>
          <w:tcPr>
            <w:tcW w:w="2060" w:type="dxa"/>
            <w:vAlign w:val="bottom"/>
            <w:tcBorders>
              <w:bottom w:val="single" w:sz="8" w:color="52A69B"/>
            </w:tcBorders>
            <w:gridSpan w:val="2"/>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Borders>
              <w:bottom w:val="single" w:sz="8" w:color="52A69B"/>
            </w:tcBorders>
          </w:tcPr>
          <w:p>
            <w:pPr>
              <w:spacing w:after="0"/>
              <w:rPr>
                <w:sz w:val="3"/>
                <w:szCs w:val="3"/>
                <w:color w:val="auto"/>
              </w:rPr>
            </w:pPr>
          </w:p>
        </w:tc>
        <w:tc>
          <w:tcPr>
            <w:tcW w:w="1320" w:type="dxa"/>
            <w:vAlign w:val="bottom"/>
            <w:tcBorders>
              <w:bottom w:val="single" w:sz="8" w:color="52A69B"/>
            </w:tcBorders>
          </w:tcPr>
          <w:p>
            <w:pPr>
              <w:spacing w:after="0"/>
              <w:rPr>
                <w:sz w:val="3"/>
                <w:szCs w:val="3"/>
                <w:color w:val="auto"/>
              </w:rPr>
            </w:pPr>
          </w:p>
        </w:tc>
        <w:tc>
          <w:tcPr>
            <w:tcW w:w="220" w:type="dxa"/>
            <w:vAlign w:val="bottom"/>
            <w:tcBorders>
              <w:bottom w:val="single" w:sz="8" w:color="52A69B"/>
            </w:tcBorders>
          </w:tcPr>
          <w:p>
            <w:pPr>
              <w:spacing w:after="0"/>
              <w:rPr>
                <w:sz w:val="3"/>
                <w:szCs w:val="3"/>
                <w:color w:val="auto"/>
              </w:rPr>
            </w:pPr>
          </w:p>
        </w:tc>
        <w:tc>
          <w:tcPr>
            <w:tcW w:w="100" w:type="dxa"/>
            <w:vAlign w:val="bottom"/>
            <w:tcBorders>
              <w:bottom w:val="single" w:sz="8" w:color="52A69B"/>
            </w:tcBorders>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Borders>
              <w:bottom w:val="single" w:sz="8" w:color="52A69B"/>
            </w:tcBorders>
          </w:tcPr>
          <w:p>
            <w:pPr>
              <w:spacing w:after="0"/>
              <w:rPr>
                <w:sz w:val="3"/>
                <w:szCs w:val="3"/>
                <w:color w:val="auto"/>
              </w:rPr>
            </w:pPr>
          </w:p>
        </w:tc>
        <w:tc>
          <w:tcPr>
            <w:tcW w:w="200" w:type="dxa"/>
            <w:vAlign w:val="bottom"/>
            <w:tcBorders>
              <w:bottom w:val="single" w:sz="8" w:color="52A69B"/>
            </w:tcBorders>
          </w:tcPr>
          <w:p>
            <w:pPr>
              <w:spacing w:after="0"/>
              <w:rPr>
                <w:sz w:val="3"/>
                <w:szCs w:val="3"/>
                <w:color w:val="auto"/>
              </w:rPr>
            </w:pPr>
          </w:p>
        </w:tc>
        <w:tc>
          <w:tcPr>
            <w:tcW w:w="640" w:type="dxa"/>
            <w:vAlign w:val="bottom"/>
            <w:tcBorders>
              <w:bottom w:val="single" w:sz="8" w:color="52A69B"/>
            </w:tcBorders>
            <w:gridSpan w:val="2"/>
          </w:tcPr>
          <w:p>
            <w:pPr>
              <w:spacing w:after="0"/>
              <w:rPr>
                <w:sz w:val="3"/>
                <w:szCs w:val="3"/>
                <w:color w:val="auto"/>
              </w:rPr>
            </w:pPr>
          </w:p>
        </w:tc>
        <w:tc>
          <w:tcPr>
            <w:tcW w:w="220" w:type="dxa"/>
            <w:vAlign w:val="bottom"/>
            <w:tcBorders>
              <w:bottom w:val="single" w:sz="8" w:color="52A69B"/>
            </w:tcBorders>
          </w:tcPr>
          <w:p>
            <w:pPr>
              <w:spacing w:after="0"/>
              <w:rPr>
                <w:sz w:val="3"/>
                <w:szCs w:val="3"/>
                <w:color w:val="auto"/>
              </w:rPr>
            </w:pPr>
          </w:p>
        </w:tc>
        <w:tc>
          <w:tcPr>
            <w:tcW w:w="1880" w:type="dxa"/>
            <w:vAlign w:val="bottom"/>
            <w:tcBorders>
              <w:bottom w:val="single" w:sz="8" w:color="52A69B"/>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Friday, June 12, 2026</w:t>
            </w:r>
          </w:p>
        </w:tc>
        <w:tc>
          <w:tcPr>
            <w:tcW w:w="186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rPr>
              <w:t>April 17, 2026</w:t>
            </w:r>
          </w:p>
        </w:tc>
        <w:tc>
          <w:tcPr>
            <w:tcW w:w="3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The meeting can be accessed by visiting</w:t>
            </w:r>
          </w:p>
        </w:tc>
        <w:tc>
          <w:tcPr>
            <w:tcW w:w="0" w:type="dxa"/>
            <w:vAlign w:val="bottom"/>
          </w:tcPr>
          <w:p>
            <w:pPr>
              <w:spacing w:after="0"/>
              <w:rPr>
                <w:sz w:val="1"/>
                <w:szCs w:val="1"/>
                <w:color w:val="auto"/>
              </w:rPr>
            </w:pPr>
          </w:p>
        </w:tc>
      </w:tr>
      <w:tr>
        <w:trPr>
          <w:trHeight w:val="216"/>
        </w:trPr>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9:30 a.m., Pacific Time</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https://web.lumiconnect.com/217605655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(password: sagimet2026), where you will be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able to listen to the meeting live, submit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questions and vote online. There will be no</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physical location for stockholders to attend.</w:t>
            </w:r>
          </w:p>
        </w:tc>
        <w:tc>
          <w:tcPr>
            <w:tcW w:w="0" w:type="dxa"/>
            <w:vAlign w:val="bottom"/>
          </w:tcPr>
          <w:p>
            <w:pPr>
              <w:spacing w:after="0"/>
              <w:rPr>
                <w:sz w:val="1"/>
                <w:szCs w:val="1"/>
                <w:color w:val="auto"/>
              </w:rPr>
            </w:pPr>
          </w:p>
        </w:tc>
      </w:tr>
      <w:tr>
        <w:trPr>
          <w:trHeight w:val="473"/>
        </w:trPr>
        <w:tc>
          <w:tcPr>
            <w:tcW w:w="4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Summary of Stockholder Voting Matters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5B66E5"/>
                <w:w w:val="99"/>
              </w:rPr>
              <w:t>FOR MORE</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5B66E5"/>
                <w:w w:val="98"/>
              </w:rPr>
              <w:t>BOARD OF DIRECTORS</w:t>
            </w:r>
          </w:p>
        </w:tc>
        <w:tc>
          <w:tcPr>
            <w:tcW w:w="0" w:type="dxa"/>
            <w:vAlign w:val="bottom"/>
          </w:tcPr>
          <w:p>
            <w:pPr>
              <w:spacing w:after="0"/>
              <w:rPr>
                <w:sz w:val="1"/>
                <w:szCs w:val="1"/>
                <w:color w:val="auto"/>
              </w:rPr>
            </w:pPr>
          </w:p>
        </w:tc>
      </w:tr>
      <w:tr>
        <w:trPr>
          <w:trHeight w:val="190"/>
        </w:trPr>
        <w:tc>
          <w:tcPr>
            <w:tcW w:w="2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5B66E5"/>
              </w:rPr>
              <w:t>VOTING MATTERS</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5B66E5"/>
                <w:w w:val="99"/>
              </w:rPr>
              <w:t>INFORMATION</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5B66E5"/>
                <w:w w:val="99"/>
              </w:rPr>
              <w:t>RECOMMENDATION</w:t>
            </w:r>
          </w:p>
        </w:tc>
        <w:tc>
          <w:tcPr>
            <w:tcW w:w="0" w:type="dxa"/>
            <w:vAlign w:val="bottom"/>
          </w:tcPr>
          <w:p>
            <w:pPr>
              <w:spacing w:after="0"/>
              <w:rPr>
                <w:sz w:val="1"/>
                <w:szCs w:val="1"/>
                <w:color w:val="auto"/>
              </w:rPr>
            </w:pPr>
          </w:p>
        </w:tc>
      </w:tr>
      <w:tr>
        <w:trPr>
          <w:trHeight w:val="23"/>
        </w:trPr>
        <w:tc>
          <w:tcPr>
            <w:tcW w:w="4000" w:type="dxa"/>
            <w:vAlign w:val="bottom"/>
            <w:tcBorders>
              <w:bottom w:val="single" w:sz="8" w:color="52A69B"/>
            </w:tcBorders>
            <w:gridSpan w:val="5"/>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52A69B"/>
            </w:tcBorders>
            <w:gridSpan w:val="2"/>
          </w:tcPr>
          <w:p>
            <w:pPr>
              <w:spacing w:after="0"/>
              <w:rPr>
                <w:sz w:val="2"/>
                <w:szCs w:val="2"/>
                <w:color w:val="auto"/>
              </w:rPr>
            </w:pPr>
          </w:p>
        </w:tc>
        <w:tc>
          <w:tcPr>
            <w:tcW w:w="720" w:type="dxa"/>
            <w:vAlign w:val="bottom"/>
            <w:tcBorders>
              <w:bottom w:val="single" w:sz="8" w:color="52A69B"/>
            </w:tcBorders>
          </w:tcPr>
          <w:p>
            <w:pPr>
              <w:spacing w:after="0"/>
              <w:rPr>
                <w:sz w:val="2"/>
                <w:szCs w:val="2"/>
                <w:color w:val="auto"/>
              </w:rPr>
            </w:pPr>
          </w:p>
        </w:tc>
        <w:tc>
          <w:tcPr>
            <w:tcW w:w="200" w:type="dxa"/>
            <w:vAlign w:val="bottom"/>
            <w:tcBorders>
              <w:bottom w:val="single" w:sz="8" w:color="52A69B"/>
            </w:tcBorders>
          </w:tcPr>
          <w:p>
            <w:pPr>
              <w:spacing w:after="0"/>
              <w:rPr>
                <w:sz w:val="2"/>
                <w:szCs w:val="2"/>
                <w:color w:val="auto"/>
              </w:rPr>
            </w:pPr>
          </w:p>
        </w:tc>
        <w:tc>
          <w:tcPr>
            <w:tcW w:w="240" w:type="dxa"/>
            <w:vAlign w:val="bottom"/>
            <w:tcBorders>
              <w:bottom w:val="single" w:sz="8" w:color="52A69B"/>
            </w:tcBorders>
          </w:tcPr>
          <w:p>
            <w:pPr>
              <w:spacing w:after="0"/>
              <w:rPr>
                <w:sz w:val="2"/>
                <w:szCs w:val="2"/>
                <w:color w:val="auto"/>
              </w:rPr>
            </w:pPr>
          </w:p>
        </w:tc>
        <w:tc>
          <w:tcPr>
            <w:tcW w:w="400" w:type="dxa"/>
            <w:vAlign w:val="bottom"/>
            <w:tcBorders>
              <w:bottom w:val="single" w:sz="8" w:color="52A69B"/>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52A69B"/>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Election of Class III Directors for a</w:t>
            </w:r>
          </w:p>
        </w:tc>
        <w:tc>
          <w:tcPr>
            <w:tcW w:w="11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40</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spacing w:after="0" w:line="19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Each Nominee</w:t>
            </w:r>
          </w:p>
        </w:tc>
        <w:tc>
          <w:tcPr>
            <w:tcW w:w="0" w:type="dxa"/>
            <w:vAlign w:val="bottom"/>
          </w:tcPr>
          <w:p>
            <w:pPr>
              <w:spacing w:after="0"/>
              <w:rPr>
                <w:sz w:val="1"/>
                <w:szCs w:val="1"/>
                <w:color w:val="auto"/>
              </w:rPr>
            </w:pPr>
          </w:p>
        </w:tc>
      </w:tr>
      <w:tr>
        <w:trPr>
          <w:trHeight w:val="237"/>
        </w:trPr>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Three-Year Term Expiring in 2029</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52A69B"/>
              </w:rPr>
              <w:t>Jennifer Jarrett</w:t>
            </w:r>
          </w:p>
        </w:tc>
        <w:tc>
          <w:tcPr>
            <w:tcW w:w="33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52A69B"/>
              </w:rPr>
              <w:t>Anne Phillips, M.D.</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gridSpan w:val="8"/>
          </w:tcPr>
          <w:p>
            <w:pPr>
              <w:spacing w:after="0"/>
              <w:rPr>
                <w:sz w:val="20"/>
                <w:szCs w:val="20"/>
                <w:color w:val="auto"/>
              </w:rPr>
            </w:pPr>
            <w:r>
              <w:rPr>
                <w:rFonts w:ascii="Times New Roman" w:cs="Times New Roman" w:eastAsia="Times New Roman" w:hAnsi="Times New Roman"/>
                <w:sz w:val="18"/>
                <w:szCs w:val="18"/>
                <w:color w:val="52A69B"/>
              </w:rPr>
              <w:t>David Happel      George Kemble, Ph.D.</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vMerge w:val="restart"/>
          </w:tcPr>
          <w:p>
            <w:pPr>
              <w:jc w:val="center"/>
              <w:spacing w:after="0" w:line="207" w:lineRule="exact"/>
              <w:rPr>
                <w:sz w:val="20"/>
                <w:szCs w:val="20"/>
                <w:color w:val="auto"/>
              </w:rPr>
            </w:pP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xml:space="preserve"> FOR</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tc>
        <w:tc>
          <w:tcPr>
            <w:tcW w:w="33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Ratification of Appointment of</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41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KPMG as our Independent Registered Public</w:t>
            </w:r>
          </w:p>
        </w:tc>
        <w:tc>
          <w:tcPr>
            <w:tcW w:w="72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Firm for 2026</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Director Nominees</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You are being asked to vote on the election of Jennifer Jarrett, Anne Phillips, M.D., David Happel and George Kemble, Ph.D. as Class III directors, each to serve for a three-year term expiring at our 2029 Annual Meeting of Stockholders, or the 2029 Annual Meeting. The number of members of our board of directors, or Board, is currently set at eight members. Our Board is divided into three classes, each of which has a three-year term. Class I currently consists of two directors, Class II consists of two directors and Class III consists of four directors.</w:t>
      </w:r>
    </w:p>
    <w:p>
      <w:pPr>
        <w:spacing w:after="0" w:line="120"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term of office of our Class III directors, Jennifer Jarrett, Anne Phillips, M.D., David Happel and George Kemble, Ph.D., expires at the Annual Meeting.</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nominating Jennifer Jarrett, Anne Phillips, M.D., David Happel and George Kemble, Ph.D. for re-election as Class III directors at our Annual Meeting to serve until the 2029 Annual Meeting and until their successors, if any, are elected or appointed, or their earlier death, resignation, retirement, disqualification or removal. Directors are elected by a plurality of the votes properly cast by our stockholders at the Annual Meeting. The nominees receiving the most FOR votes (among votes properly cast online at the meeting or by proxy) will be elected. If no contrary indication is made, shares represented by executed proxies will be voted FOR the election of Jennifer Jarrett, Anne Phillips, M.D., David Happel and George Kemble, Ph.D. Each nominee has agreed to serve as a director if elected, and we have no reason to believe that any nominee will be unable to serve.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7"/>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7"/>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MEMBERSHIPS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CC</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NCGC</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OCCUPATION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DEE0F9"/>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EE0F9"/>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DEE0F9"/>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DEE0F9"/>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EE0F9"/>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DEE0F9"/>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DEE0F9"/>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Jennifer Jarrett</w:t>
            </w:r>
          </w:p>
        </w:tc>
        <w:tc>
          <w:tcPr>
            <w:tcW w:w="44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 w:type="dxa"/>
            <w:vAlign w:val="bottom"/>
            <w:shd w:val="clear" w:color="auto" w:fill="DEE0F9"/>
          </w:tcPr>
          <w:p>
            <w:pPr>
              <w:spacing w:after="0"/>
              <w:rPr>
                <w:sz w:val="18"/>
                <w:szCs w:val="18"/>
                <w:color w:val="auto"/>
              </w:rPr>
            </w:pPr>
          </w:p>
        </w:tc>
        <w:tc>
          <w:tcPr>
            <w:tcW w:w="6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40" w:type="dxa"/>
            <w:vAlign w:val="bottom"/>
            <w:shd w:val="clear" w:color="auto" w:fill="DEE0F9"/>
          </w:tcPr>
          <w:p>
            <w:pPr>
              <w:spacing w:after="0"/>
              <w:rPr>
                <w:sz w:val="18"/>
                <w:szCs w:val="18"/>
                <w:color w:val="auto"/>
              </w:rPr>
            </w:pPr>
          </w:p>
        </w:tc>
        <w:tc>
          <w:tcPr>
            <w:tcW w:w="4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DEE0F9"/>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8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20" w:type="dxa"/>
            <w:vAlign w:val="bottom"/>
            <w:shd w:val="clear" w:color="auto" w:fill="DEE0F9"/>
          </w:tcPr>
          <w:p>
            <w:pPr>
              <w:spacing w:after="0"/>
              <w:rPr>
                <w:sz w:val="18"/>
                <w:szCs w:val="18"/>
                <w:color w:val="auto"/>
              </w:rPr>
            </w:pPr>
          </w:p>
        </w:tc>
        <w:tc>
          <w:tcPr>
            <w:tcW w:w="6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EE0F9"/>
          </w:tcPr>
          <w:p>
            <w:pPr>
              <w:ind w:left="120"/>
              <w:spacing w:after="0"/>
              <w:rPr>
                <w:sz w:val="20"/>
                <w:szCs w:val="20"/>
                <w:color w:val="auto"/>
              </w:rPr>
            </w:pPr>
            <w:r>
              <w:rPr>
                <w:rFonts w:ascii="Times New Roman" w:cs="Times New Roman" w:eastAsia="Times New Roman" w:hAnsi="Times New Roman"/>
                <w:sz w:val="18"/>
                <w:szCs w:val="18"/>
                <w:color w:val="auto"/>
              </w:rPr>
              <w:t>​M</w:t>
            </w:r>
          </w:p>
        </w:tc>
        <w:tc>
          <w:tcPr>
            <w:tcW w:w="40" w:type="dxa"/>
            <w:vAlign w:val="bottom"/>
            <w:shd w:val="clear" w:color="auto" w:fill="DEE0F9"/>
          </w:tcPr>
          <w:p>
            <w:pPr>
              <w:spacing w:after="0"/>
              <w:rPr>
                <w:sz w:val="18"/>
                <w:szCs w:val="18"/>
                <w:color w:val="auto"/>
              </w:rPr>
            </w:pPr>
          </w:p>
        </w:tc>
        <w:tc>
          <w:tcPr>
            <w:tcW w:w="6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EE0F9"/>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E0F9"/>
          </w:tcPr>
          <w:p>
            <w:pPr>
              <w:spacing w:after="0"/>
              <w:rPr>
                <w:sz w:val="18"/>
                <w:szCs w:val="18"/>
                <w:color w:val="auto"/>
              </w:rPr>
            </w:pPr>
          </w:p>
        </w:tc>
        <w:tc>
          <w:tcPr>
            <w:tcW w:w="4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EE0F9"/>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8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440" w:type="dxa"/>
            <w:vAlign w:val="bottom"/>
            <w:shd w:val="clear" w:color="auto" w:fill="DEE0F9"/>
          </w:tcPr>
          <w:p>
            <w:pPr>
              <w:spacing w:after="0"/>
              <w:rPr>
                <w:sz w:val="21"/>
                <w:szCs w:val="21"/>
                <w:color w:val="auto"/>
              </w:rPr>
            </w:pPr>
          </w:p>
        </w:tc>
        <w:tc>
          <w:tcPr>
            <w:tcW w:w="2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84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2160" w:type="dxa"/>
            <w:vAlign w:val="bottom"/>
            <w:gridSpan w:val="2"/>
            <w:shd w:val="clear" w:color="auto" w:fill="DEE0F9"/>
          </w:tcPr>
          <w:p>
            <w:pPr>
              <w:jc w:val="center"/>
              <w:ind w:left="52"/>
              <w:spacing w:after="0"/>
              <w:rPr>
                <w:sz w:val="20"/>
                <w:szCs w:val="20"/>
                <w:color w:val="auto"/>
              </w:rPr>
            </w:pPr>
            <w:r>
              <w:rPr>
                <w:rFonts w:ascii="Times New Roman" w:cs="Times New Roman" w:eastAsia="Times New Roman" w:hAnsi="Times New Roman"/>
                <w:sz w:val="18"/>
                <w:szCs w:val="18"/>
                <w:color w:val="auto"/>
              </w:rPr>
              <w:t>Damora Therapeutics</w:t>
            </w:r>
          </w:p>
        </w:tc>
        <w:tc>
          <w:tcPr>
            <w:tcW w:w="1080" w:type="dxa"/>
            <w:vAlign w:val="bottom"/>
            <w:shd w:val="clear" w:color="auto" w:fill="DEE0F9"/>
          </w:tcPr>
          <w:p>
            <w:pPr>
              <w:spacing w:after="0"/>
              <w:rPr>
                <w:sz w:val="21"/>
                <w:szCs w:val="21"/>
                <w:color w:val="auto"/>
              </w:rPr>
            </w:pPr>
          </w:p>
        </w:tc>
        <w:tc>
          <w:tcPr>
            <w:tcW w:w="2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38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38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460" w:type="dxa"/>
            <w:vAlign w:val="bottom"/>
            <w:shd w:val="clear" w:color="auto" w:fill="DEE0F9"/>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Phillips, M.D.</w:t>
            </w:r>
          </w:p>
        </w:tc>
        <w:tc>
          <w:tcPr>
            <w:tcW w:w="4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72</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2007</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Retired</w:t>
            </w:r>
          </w:p>
        </w:tc>
        <w:tc>
          <w:tcPr>
            <w:tcW w:w="108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Yes</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M</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56"/>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M</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David Happel</w:t>
            </w:r>
          </w:p>
        </w:tc>
        <w:tc>
          <w:tcPr>
            <w:tcW w:w="44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gridSpan w:val="2"/>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DEE0F9"/>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8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80" w:type="dxa"/>
            <w:vAlign w:val="bottom"/>
            <w:gridSpan w:val="2"/>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EE0F9"/>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EE0F9"/>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EE0F9"/>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98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440" w:type="dxa"/>
            <w:vAlign w:val="bottom"/>
            <w:shd w:val="clear" w:color="auto" w:fill="DEE0F9"/>
          </w:tcPr>
          <w:p>
            <w:pPr>
              <w:spacing w:after="0"/>
              <w:rPr>
                <w:sz w:val="21"/>
                <w:szCs w:val="21"/>
                <w:color w:val="auto"/>
              </w:rPr>
            </w:pPr>
          </w:p>
        </w:tc>
        <w:tc>
          <w:tcPr>
            <w:tcW w:w="2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84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2160" w:type="dxa"/>
            <w:vAlign w:val="bottom"/>
            <w:gridSpan w:val="2"/>
            <w:shd w:val="clear" w:color="auto" w:fill="DEE0F9"/>
          </w:tcPr>
          <w:p>
            <w:pPr>
              <w:jc w:val="center"/>
              <w:ind w:left="52"/>
              <w:spacing w:after="0"/>
              <w:rPr>
                <w:sz w:val="20"/>
                <w:szCs w:val="20"/>
                <w:color w:val="auto"/>
              </w:rPr>
            </w:pPr>
            <w:r>
              <w:rPr>
                <w:rFonts w:ascii="Times New Roman" w:cs="Times New Roman" w:eastAsia="Times New Roman" w:hAnsi="Times New Roman"/>
                <w:sz w:val="18"/>
                <w:szCs w:val="18"/>
                <w:color w:val="auto"/>
              </w:rPr>
              <w:t>Sagimet Biosciences Inc.</w:t>
            </w:r>
          </w:p>
        </w:tc>
        <w:tc>
          <w:tcPr>
            <w:tcW w:w="1080" w:type="dxa"/>
            <w:vAlign w:val="bottom"/>
            <w:shd w:val="clear" w:color="auto" w:fill="DEE0F9"/>
          </w:tcPr>
          <w:p>
            <w:pPr>
              <w:spacing w:after="0"/>
              <w:rPr>
                <w:sz w:val="21"/>
                <w:szCs w:val="21"/>
                <w:color w:val="auto"/>
              </w:rPr>
            </w:pPr>
          </w:p>
        </w:tc>
        <w:tc>
          <w:tcPr>
            <w:tcW w:w="2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38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380" w:type="dxa"/>
            <w:vAlign w:val="bottom"/>
            <w:shd w:val="clear" w:color="auto" w:fill="DEE0F9"/>
          </w:tcPr>
          <w:p>
            <w:pPr>
              <w:spacing w:after="0"/>
              <w:rPr>
                <w:sz w:val="21"/>
                <w:szCs w:val="21"/>
                <w:color w:val="auto"/>
              </w:rPr>
            </w:pPr>
          </w:p>
        </w:tc>
        <w:tc>
          <w:tcPr>
            <w:tcW w:w="60" w:type="dxa"/>
            <w:vAlign w:val="bottom"/>
            <w:shd w:val="clear" w:color="auto" w:fill="DEE0F9"/>
          </w:tcPr>
          <w:p>
            <w:pPr>
              <w:spacing w:after="0"/>
              <w:rPr>
                <w:sz w:val="21"/>
                <w:szCs w:val="21"/>
                <w:color w:val="auto"/>
              </w:rPr>
            </w:pPr>
          </w:p>
        </w:tc>
        <w:tc>
          <w:tcPr>
            <w:tcW w:w="40" w:type="dxa"/>
            <w:vAlign w:val="bottom"/>
            <w:shd w:val="clear" w:color="auto" w:fill="DEE0F9"/>
          </w:tcPr>
          <w:p>
            <w:pPr>
              <w:spacing w:after="0"/>
              <w:rPr>
                <w:sz w:val="21"/>
                <w:szCs w:val="21"/>
                <w:color w:val="auto"/>
              </w:rPr>
            </w:pPr>
          </w:p>
        </w:tc>
        <w:tc>
          <w:tcPr>
            <w:tcW w:w="460" w:type="dxa"/>
            <w:vAlign w:val="bottom"/>
            <w:shd w:val="clear" w:color="auto" w:fill="DEE0F9"/>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Kemble, Ph.D.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Sagimet Biosciences Inc.</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AC </w:t>
            </w:r>
            <w:r>
              <w:rPr>
                <w:rFonts w:ascii="Times New Roman" w:cs="Times New Roman" w:eastAsia="Times New Roman" w:hAnsi="Times New Roman"/>
                <w:sz w:val="18"/>
                <w:szCs w:val="18"/>
                <w:color w:val="auto"/>
              </w:rPr>
              <w:t>= Audit Committee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CC </w:t>
            </w:r>
            <w:r>
              <w:rPr>
                <w:rFonts w:ascii="Times New Roman" w:cs="Times New Roman" w:eastAsia="Times New Roman" w:hAnsi="Times New Roman"/>
                <w:sz w:val="18"/>
                <w:szCs w:val="18"/>
                <w:color w:val="auto"/>
              </w:rPr>
              <w:t>= Compensation Committee</w:t>
            </w: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 Chair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xml:space="preserve">NCGC </w:t>
            </w:r>
            <w:r>
              <w:rPr>
                <w:rFonts w:ascii="Times New Roman" w:cs="Times New Roman" w:eastAsia="Times New Roman" w:hAnsi="Times New Roman"/>
                <w:sz w:val="18"/>
                <w:szCs w:val="18"/>
                <w:color w:val="auto"/>
              </w:rPr>
              <w:t>= Nominating and Corporate Governance Committee</w:t>
            </w: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M </w:t>
            </w:r>
            <w:r>
              <w:rPr>
                <w:rFonts w:ascii="Times New Roman" w:cs="Times New Roman" w:eastAsia="Times New Roman" w:hAnsi="Times New Roman"/>
                <w:sz w:val="18"/>
                <w:szCs w:val="18"/>
                <w:color w:val="auto"/>
              </w:rPr>
              <w:t>= Member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5686425</wp:posOffset>
            </wp:positionH>
            <wp:positionV relativeFrom="paragraph">
              <wp:posOffset>-1508125</wp:posOffset>
            </wp:positionV>
            <wp:extent cx="3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-1508125</wp:posOffset>
            </wp:positionV>
            <wp:extent cx="34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-1508125</wp:posOffset>
            </wp:positionV>
            <wp:extent cx="34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-1508125</wp:posOffset>
            </wp:positionV>
            <wp:extent cx="34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-1508125</wp:posOffset>
            </wp:positionV>
            <wp:extent cx="3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-1508125</wp:posOffset>
            </wp:positionV>
            <wp:extent cx="34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-1508125</wp:posOffset>
            </wp:positionV>
            <wp:extent cx="342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 w:lineRule="exact"/>
        <w:rPr>
          <w:sz w:val="20"/>
          <w:szCs w:val="20"/>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as of the Annual Meeting.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62"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current Board structure and key elements of our corporate governance framework:</w:t>
      </w:r>
    </w:p>
    <w:p>
      <w:pPr>
        <w:spacing w:after="0" w:line="10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GOVERNANCE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Size of Board (set by the Board)</w:t>
            </w:r>
          </w:p>
        </w:tc>
        <w:tc>
          <w:tcPr>
            <w:tcW w:w="19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88"/>
              </w:rPr>
              <w:t>8</w:t>
            </w:r>
          </w:p>
        </w:tc>
      </w:tr>
      <w:tr>
        <w:trPr>
          <w:trHeight w:val="257"/>
        </w:trPr>
        <w:tc>
          <w:tcPr>
            <w:tcW w:w="630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Number of Independent Directors</w:t>
            </w:r>
          </w:p>
        </w:tc>
        <w:tc>
          <w:tcPr>
            <w:tcW w:w="1900" w:type="dxa"/>
            <w:vAlign w:val="bottom"/>
            <w:shd w:val="clear" w:color="auto" w:fill="DEE0F9"/>
          </w:tcPr>
          <w:p>
            <w:pPr>
              <w:jc w:val="center"/>
              <w:ind w:left="1170"/>
              <w:spacing w:after="0"/>
              <w:rPr>
                <w:sz w:val="20"/>
                <w:szCs w:val="20"/>
                <w:color w:val="auto"/>
              </w:rPr>
            </w:pPr>
            <w:r>
              <w:rPr>
                <w:rFonts w:ascii="Times New Roman" w:cs="Times New Roman" w:eastAsia="Times New Roman" w:hAnsi="Times New Roman"/>
                <w:sz w:val="18"/>
                <w:szCs w:val="18"/>
                <w:color w:val="auto"/>
                <w:w w:val="88"/>
              </w:rPr>
              <w:t>6</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Board Self-Evaluation</w:t>
            </w:r>
          </w:p>
        </w:tc>
        <w:tc>
          <w:tcPr>
            <w:tcW w:w="19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Annual</w:t>
            </w:r>
          </w:p>
        </w:tc>
      </w:tr>
      <w:tr>
        <w:trPr>
          <w:trHeight w:val="256"/>
        </w:trPr>
        <w:tc>
          <w:tcPr>
            <w:tcW w:w="630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Review of Independence of Board</w:t>
            </w:r>
          </w:p>
        </w:tc>
        <w:tc>
          <w:tcPr>
            <w:tcW w:w="1900" w:type="dxa"/>
            <w:vAlign w:val="bottom"/>
            <w:shd w:val="clear" w:color="auto" w:fill="DEE0F9"/>
          </w:tcPr>
          <w:p>
            <w:pPr>
              <w:jc w:val="center"/>
              <w:ind w:left="1150"/>
              <w:spacing w:after="0"/>
              <w:rPr>
                <w:sz w:val="20"/>
                <w:szCs w:val="20"/>
                <w:color w:val="auto"/>
              </w:rPr>
            </w:pPr>
            <w:r>
              <w:rPr>
                <w:rFonts w:ascii="Times New Roman" w:cs="Times New Roman" w:eastAsia="Times New Roman" w:hAnsi="Times New Roman"/>
                <w:sz w:val="18"/>
                <w:szCs w:val="18"/>
                <w:color w:val="auto"/>
              </w:rPr>
              <w:t>Annual</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Directors Meet Without Management Present</w:t>
            </w:r>
          </w:p>
        </w:tc>
        <w:tc>
          <w:tcPr>
            <w:tcW w:w="19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Yes</w:t>
            </w:r>
          </w:p>
        </w:tc>
      </w:tr>
      <w:tr>
        <w:trPr>
          <w:trHeight w:val="270"/>
        </w:trPr>
        <w:tc>
          <w:tcPr>
            <w:tcW w:w="630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Voting Standard for Election of Directors in Uncontested Elections</w:t>
            </w:r>
          </w:p>
        </w:tc>
        <w:tc>
          <w:tcPr>
            <w:tcW w:w="1900" w:type="dxa"/>
            <w:vAlign w:val="bottom"/>
            <w:shd w:val="clear" w:color="auto" w:fill="DEE0F9"/>
          </w:tcPr>
          <w:p>
            <w:pPr>
              <w:jc w:val="center"/>
              <w:ind w:left="1170"/>
              <w:spacing w:after="0"/>
              <w:rPr>
                <w:sz w:val="20"/>
                <w:szCs w:val="20"/>
                <w:color w:val="auto"/>
              </w:rPr>
            </w:pPr>
            <w:r>
              <w:rPr>
                <w:rFonts w:ascii="Times New Roman" w:cs="Times New Roman" w:eastAsia="Times New Roman" w:hAnsi="Times New Roman"/>
                <w:sz w:val="18"/>
                <w:szCs w:val="18"/>
                <w:color w:val="auto"/>
              </w:rPr>
              <w:t>Plurality</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Diversity of Board background, gender, experience and skills</w:t>
            </w:r>
          </w:p>
        </w:tc>
        <w:tc>
          <w:tcPr>
            <w:tcW w:w="19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Yes</w:t>
            </w: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121" w:lineRule="exact"/>
        <w:rPr>
          <w:sz w:val="20"/>
          <w:szCs w:val="20"/>
          <w:color w:val="auto"/>
        </w:rPr>
      </w:pPr>
    </w:p>
    <w:p>
      <w:pPr>
        <w:jc w:val="both"/>
        <w:ind w:left="1800" w:right="7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positive topline results were reported by our license partner for China, Ascletis BioScience Co. Ltd. (Ascletis) in the open-label Phase 3 trial evaluating the long-term safety of ASC40 (denifanstat) tablets in patients with moderate to severe acne in China.</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China’s National Medical Products Administration (NMPA) accepted Ascletis’ New Drug Application (NDA) for denifanstat for the treatment of moderate to severe acne.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we announced completion of our Phase 1 pharmacokinetic trial of a combination of denifanstat and resmetirom. The combination of denifanstat and resmetirom was generally well-tolerated over the duration of the study, with no safety signals. No SAEs were reported, and there were no clinically significant laboratory AEs and no treatment-related discontinuations.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entered into a Sales Agreement with Leerink Partners LLC to establish an at-the-market offering, through which we may sell, from time to time at our sole discretion, up to</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shares of our Series A common stock.</w:t>
      </w:r>
    </w:p>
    <w:p>
      <w:pPr>
        <w:spacing w:after="0" w:line="98"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initiated a first-in-human Phase 1 clinical trial of our potent and selective small molecule fatty acid synthase inhibitor, TVB-3567, for development of an acne indication.</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Ascletis announced that denifanstat met all primary and secondary endpoints in its Phase 3 trial in moderate to severe acne vulgaris in China.</w:t>
      </w:r>
    </w:p>
    <w:p>
      <w:pPr>
        <w:spacing w:after="0" w:line="39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1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228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SUMMARY INFORMATION</w:t>
            </w:r>
          </w:p>
        </w:tc>
        <w:tc>
          <w:tcPr>
            <w:tcW w:w="5140" w:type="dxa"/>
            <w:vAlign w:val="bottom"/>
            <w:tcBorders>
              <w:left w:val="single" w:sz="8" w:color="CCEEFF"/>
              <w:bottom w:val="single" w:sz="8" w:color="CCEEFF"/>
            </w:tcBorders>
            <w:gridSpan w:val="23"/>
            <w:shd w:val="clear" w:color="auto" w:fill="CCEEFF"/>
          </w:tcPr>
          <w:p>
            <w:pPr>
              <w:spacing w:after="0"/>
              <w:rPr>
                <w:sz w:val="16"/>
                <w:szCs w:val="16"/>
                <w:color w:val="auto"/>
              </w:rPr>
            </w:pPr>
          </w:p>
        </w:tc>
        <w:tc>
          <w:tcPr>
            <w:tcW w:w="68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u w:val="single" w:color="auto"/>
                <w:color w:val="0000EE"/>
              </w:rPr>
              <w:t>i</w:t>
            </w:r>
          </w:p>
        </w:tc>
      </w:tr>
      <w:tr>
        <w:trPr>
          <w:trHeight w:val="236"/>
        </w:trPr>
        <w:tc>
          <w:tcPr>
            <w:tcW w:w="180" w:type="dxa"/>
            <w:vAlign w:val="bottom"/>
          </w:tcPr>
          <w:p>
            <w:pPr>
              <w:spacing w:after="0"/>
              <w:rPr>
                <w:sz w:val="20"/>
                <w:szCs w:val="20"/>
                <w:color w:val="auto"/>
              </w:rPr>
            </w:pPr>
          </w:p>
        </w:tc>
        <w:tc>
          <w:tcPr>
            <w:tcW w:w="35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CORPORATE GOVERNANCE HIGHLIGHTS</w:t>
            </w:r>
          </w:p>
        </w:tc>
        <w:tc>
          <w:tcPr>
            <w:tcW w:w="3660" w:type="dxa"/>
            <w:vAlign w:val="bottom"/>
            <w:gridSpan w:val="12"/>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9"/>
              </w:rPr>
              <w:t>ii</w:t>
            </w:r>
          </w:p>
        </w:tc>
      </w:tr>
      <w:tr>
        <w:trPr>
          <w:trHeight w:val="237"/>
        </w:trPr>
        <w:tc>
          <w:tcPr>
            <w:tcW w:w="180" w:type="dxa"/>
            <w:vAlign w:val="bottom"/>
            <w:shd w:val="clear" w:color="auto" w:fill="CCEEFF"/>
          </w:tcPr>
          <w:p>
            <w:pPr>
              <w:spacing w:after="0"/>
              <w:rPr>
                <w:sz w:val="20"/>
                <w:szCs w:val="20"/>
                <w:color w:val="auto"/>
              </w:rPr>
            </w:pPr>
          </w:p>
        </w:tc>
        <w:tc>
          <w:tcPr>
            <w:tcW w:w="72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RECENT CORPORATE HIGHLIGHTS</w:t>
            </w:r>
          </w:p>
        </w:tc>
        <w:tc>
          <w:tcPr>
            <w:tcW w:w="680" w:type="dxa"/>
            <w:vAlign w:val="bottom"/>
            <w:tcBorders>
              <w:right w:val="single" w:sz="8" w:color="CCEEFF"/>
            </w:tcBorders>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79"/>
              </w:rPr>
              <w:t>ii</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4220" w:type="dxa"/>
            <w:vAlign w:val="bottom"/>
            <w:gridSpan w:val="18"/>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w w:val="78"/>
              </w:rPr>
              <w:t>iv</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GENERAL INFORMATION ABOUT THE MEETING</w:t>
            </w:r>
          </w:p>
        </w:tc>
        <w:tc>
          <w:tcPr>
            <w:tcW w:w="3240" w:type="dxa"/>
            <w:vAlign w:val="bottom"/>
            <w:gridSpan w:val="10"/>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PROXY SOLICITATION</w:t>
            </w:r>
          </w:p>
        </w:tc>
        <w:tc>
          <w:tcPr>
            <w:tcW w:w="2060" w:type="dxa"/>
            <w:vAlign w:val="bottom"/>
            <w:gridSpan w:val="14"/>
          </w:tcPr>
          <w:p>
            <w:pPr>
              <w:spacing w:after="0"/>
              <w:rPr>
                <w:sz w:val="21"/>
                <w:szCs w:val="21"/>
                <w:color w:val="auto"/>
              </w:rPr>
            </w:pPr>
          </w:p>
        </w:tc>
        <w:tc>
          <w:tcPr>
            <w:tcW w:w="3240" w:type="dxa"/>
            <w:vAlign w:val="bottom"/>
            <w:gridSpan w:val="10"/>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STOCKHOLDERS ENTITLED TO VOTE</w:t>
            </w:r>
          </w:p>
        </w:tc>
        <w:tc>
          <w:tcPr>
            <w:tcW w:w="4000" w:type="dxa"/>
            <w:vAlign w:val="bottom"/>
            <w:gridSpan w:val="17"/>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VOTING METHODS</w:t>
            </w:r>
          </w:p>
        </w:tc>
        <w:tc>
          <w:tcPr>
            <w:tcW w:w="1580" w:type="dxa"/>
            <w:vAlign w:val="bottom"/>
            <w:gridSpan w:val="9"/>
          </w:tcPr>
          <w:p>
            <w:pPr>
              <w:spacing w:after="0"/>
              <w:rPr>
                <w:sz w:val="21"/>
                <w:szCs w:val="21"/>
                <w:color w:val="auto"/>
              </w:rPr>
            </w:pPr>
          </w:p>
        </w:tc>
        <w:tc>
          <w:tcPr>
            <w:tcW w:w="4000" w:type="dxa"/>
            <w:vAlign w:val="bottom"/>
            <w:gridSpan w:val="17"/>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2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HOW YOUR SHARES WILL BE VOTED</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BROKER VOTING AND VOTES REQUIRED FOR EACH PROPOSAL</w:t>
            </w:r>
          </w:p>
        </w:tc>
        <w:tc>
          <w:tcPr>
            <w:tcW w:w="1680" w:type="dxa"/>
            <w:vAlign w:val="bottom"/>
            <w:gridSpan w:val="4"/>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QUORUM</w:t>
            </w:r>
          </w:p>
        </w:tc>
        <w:tc>
          <w:tcPr>
            <w:tcW w:w="4740" w:type="dxa"/>
            <w:vAlign w:val="bottom"/>
            <w:gridSpan w:val="23"/>
            <w:shd w:val="clear" w:color="auto" w:fill="CCEEFF"/>
          </w:tcPr>
          <w:p>
            <w:pPr>
              <w:spacing w:after="0"/>
              <w:rPr>
                <w:sz w:val="21"/>
                <w:szCs w:val="21"/>
                <w:color w:val="auto"/>
              </w:rPr>
            </w:pPr>
          </w:p>
        </w:tc>
        <w:tc>
          <w:tcPr>
            <w:tcW w:w="1680" w:type="dxa"/>
            <w:vAlign w:val="bottom"/>
            <w:gridSpan w:val="4"/>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PROXY SOLICITATION COSTS</w:t>
            </w:r>
          </w:p>
        </w:tc>
        <w:tc>
          <w:tcPr>
            <w:tcW w:w="4680" w:type="dxa"/>
            <w:vAlign w:val="bottom"/>
            <w:gridSpan w:val="20"/>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12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OF DIRECTORS</w:t>
            </w:r>
          </w:p>
        </w:tc>
        <w:tc>
          <w:tcPr>
            <w:tcW w:w="5300" w:type="dxa"/>
            <w:vAlign w:val="bottom"/>
            <w:gridSpan w:val="24"/>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BOARD STRUCTURE AND COMPOSITION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CRITERIA FOR BOARD MEMBERSHIP</w:t>
            </w:r>
          </w:p>
        </w:tc>
        <w:tc>
          <w:tcPr>
            <w:tcW w:w="300" w:type="dxa"/>
            <w:vAlign w:val="bottom"/>
            <w:gridSpan w:val="3"/>
            <w:shd w:val="clear" w:color="auto" w:fill="CCEEFF"/>
          </w:tcPr>
          <w:p>
            <w:pPr>
              <w:spacing w:after="0"/>
              <w:rPr>
                <w:sz w:val="21"/>
                <w:szCs w:val="21"/>
                <w:color w:val="auto"/>
              </w:rPr>
            </w:pPr>
          </w:p>
        </w:tc>
        <w:tc>
          <w:tcPr>
            <w:tcW w:w="3700" w:type="dxa"/>
            <w:vAlign w:val="bottom"/>
            <w:gridSpan w:val="14"/>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SELECTION OF CANDIDATES</w:t>
            </w:r>
          </w:p>
        </w:tc>
        <w:tc>
          <w:tcPr>
            <w:tcW w:w="680" w:type="dxa"/>
            <w:vAlign w:val="bottom"/>
            <w:gridSpan w:val="3"/>
          </w:tcPr>
          <w:p>
            <w:pPr>
              <w:spacing w:after="0"/>
              <w:rPr>
                <w:sz w:val="21"/>
                <w:szCs w:val="21"/>
                <w:color w:val="auto"/>
              </w:rPr>
            </w:pPr>
          </w:p>
        </w:tc>
        <w:tc>
          <w:tcPr>
            <w:tcW w:w="4000" w:type="dxa"/>
            <w:vAlign w:val="bottom"/>
            <w:gridSpan w:val="17"/>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63"/>
        </w:trPr>
        <w:tc>
          <w:tcPr>
            <w:tcW w:w="180" w:type="dxa"/>
            <w:vAlign w:val="bottom"/>
            <w:shd w:val="clear" w:color="auto" w:fill="CCEEFF"/>
          </w:tcPr>
          <w:p>
            <w:pPr>
              <w:spacing w:after="0"/>
              <w:rPr>
                <w:sz w:val="22"/>
                <w:szCs w:val="22"/>
                <w:color w:val="auto"/>
              </w:rPr>
            </w:pPr>
          </w:p>
        </w:tc>
        <w:tc>
          <w:tcPr>
            <w:tcW w:w="2560" w:type="dxa"/>
            <w:vAlign w:val="bottom"/>
            <w:tcBorders>
              <w:top w:val="single" w:sz="8" w:color="0000EE"/>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DIVERSITY</w:t>
            </w:r>
          </w:p>
        </w:tc>
        <w:tc>
          <w:tcPr>
            <w:tcW w:w="4680" w:type="dxa"/>
            <w:vAlign w:val="bottom"/>
            <w:gridSpan w:val="20"/>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r>
      <w:tr>
        <w:trPr>
          <w:trHeight w:val="256"/>
        </w:trPr>
        <w:tc>
          <w:tcPr>
            <w:tcW w:w="180" w:type="dxa"/>
            <w:vAlign w:val="bottom"/>
          </w:tcPr>
          <w:p>
            <w:pPr>
              <w:spacing w:after="0"/>
              <w:rPr>
                <w:sz w:val="22"/>
                <w:szCs w:val="22"/>
                <w:color w:val="auto"/>
              </w:rPr>
            </w:pPr>
          </w:p>
        </w:tc>
        <w:tc>
          <w:tcPr>
            <w:tcW w:w="72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BOARD OVERSIGHT OF COMPANY CULTURE AND ENVIRONMENTAL, SOCIAL AND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6"/>
        </w:trPr>
        <w:tc>
          <w:tcPr>
            <w:tcW w:w="180" w:type="dxa"/>
            <w:vAlign w:val="bottom"/>
          </w:tcPr>
          <w:p>
            <w:pPr>
              <w:spacing w:after="0"/>
              <w:rPr>
                <w:sz w:val="17"/>
                <w:szCs w:val="17"/>
                <w:color w:val="auto"/>
              </w:rPr>
            </w:pPr>
          </w:p>
        </w:tc>
        <w:tc>
          <w:tcPr>
            <w:tcW w:w="7240" w:type="dxa"/>
            <w:vAlign w:val="bottom"/>
            <w:gridSpan w:val="29"/>
          </w:tcPr>
          <w:p>
            <w:pPr>
              <w:ind w:left="180"/>
              <w:spacing w:after="0" w:line="196" w:lineRule="exact"/>
              <w:rPr>
                <w:sz w:val="20"/>
                <w:szCs w:val="20"/>
                <w:color w:val="auto"/>
              </w:rPr>
            </w:pPr>
            <w:r>
              <w:rPr>
                <w:rFonts w:ascii="Times New Roman" w:cs="Times New Roman" w:eastAsia="Times New Roman" w:hAnsi="Times New Roman"/>
                <w:sz w:val="18"/>
                <w:szCs w:val="18"/>
                <w:color w:val="0000EE"/>
              </w:rPr>
              <w:t>GOVERNANCE HIGHLIGHTS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194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NOMINEES</w:t>
            </w:r>
          </w:p>
        </w:tc>
        <w:tc>
          <w:tcPr>
            <w:tcW w:w="5300" w:type="dxa"/>
            <w:vAlign w:val="bottom"/>
            <w:gridSpan w:val="24"/>
            <w:shd w:val="clear" w:color="auto" w:fill="CCEEFF"/>
          </w:tcPr>
          <w:p>
            <w:pPr>
              <w:spacing w:after="0"/>
              <w:rPr>
                <w:sz w:val="22"/>
                <w:szCs w:val="2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CONTINUING DIRECTORS</w:t>
            </w:r>
          </w:p>
        </w:tc>
        <w:tc>
          <w:tcPr>
            <w:tcW w:w="5000" w:type="dxa"/>
            <w:vAlign w:val="bottom"/>
            <w:gridSpan w:val="22"/>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72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 AND RISK MANAGEMENT</w:t>
            </w:r>
          </w:p>
        </w:tc>
        <w:tc>
          <w:tcPr>
            <w:tcW w:w="2700" w:type="dxa"/>
            <w:vAlign w:val="bottom"/>
            <w:tcBorders>
              <w:bottom w:val="single" w:sz="8" w:color="CCEEFF"/>
            </w:tcBorders>
            <w:gridSpan w:val="9"/>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11</w:t>
            </w:r>
          </w:p>
        </w:tc>
      </w:tr>
      <w:tr>
        <w:trPr>
          <w:trHeight w:val="250"/>
        </w:trPr>
        <w:tc>
          <w:tcPr>
            <w:tcW w:w="180" w:type="dxa"/>
            <w:vAlign w:val="bottom"/>
          </w:tcPr>
          <w:p>
            <w:pPr>
              <w:spacing w:after="0"/>
              <w:rPr>
                <w:sz w:val="21"/>
                <w:szCs w:val="21"/>
                <w:color w:val="auto"/>
              </w:rPr>
            </w:pPr>
          </w:p>
        </w:tc>
        <w:tc>
          <w:tcPr>
            <w:tcW w:w="72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BOARD INDEPENDENCE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LEADERSHIP STRUCTURE AND THE BOARD’S ROLE IN RISK OVERSIGHT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11</w:t>
            </w:r>
          </w:p>
        </w:tc>
      </w:tr>
      <w:tr>
        <w:trPr>
          <w:trHeight w:val="250"/>
        </w:trPr>
        <w:tc>
          <w:tcPr>
            <w:tcW w:w="180" w:type="dxa"/>
            <w:vAlign w:val="bottom"/>
          </w:tcPr>
          <w:p>
            <w:pPr>
              <w:spacing w:after="0"/>
              <w:rPr>
                <w:sz w:val="21"/>
                <w:szCs w:val="21"/>
                <w:color w:val="auto"/>
              </w:rPr>
            </w:pPr>
          </w:p>
        </w:tc>
        <w:tc>
          <w:tcPr>
            <w:tcW w:w="19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BOARD COMMITTEES</w:t>
            </w:r>
          </w:p>
        </w:tc>
        <w:tc>
          <w:tcPr>
            <w:tcW w:w="5300" w:type="dxa"/>
            <w:vAlign w:val="bottom"/>
            <w:gridSpan w:val="24"/>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2"/>
              </w:rPr>
              <w:t>12</w:t>
            </w: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EVALUATING BOARD EFFECTIVENESS</w:t>
            </w:r>
          </w:p>
        </w:tc>
        <w:tc>
          <w:tcPr>
            <w:tcW w:w="3900" w:type="dxa"/>
            <w:vAlign w:val="bottom"/>
            <w:tcBorders>
              <w:bottom w:val="single" w:sz="8" w:color="CCEEFF"/>
            </w:tcBorders>
            <w:gridSpan w:val="16"/>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12</w:t>
            </w:r>
          </w:p>
        </w:tc>
      </w:tr>
      <w:tr>
        <w:trPr>
          <w:trHeight w:val="250"/>
        </w:trPr>
        <w:tc>
          <w:tcPr>
            <w:tcW w:w="180" w:type="dxa"/>
            <w:vAlign w:val="bottom"/>
          </w:tcPr>
          <w:p>
            <w:pPr>
              <w:spacing w:after="0"/>
              <w:rPr>
                <w:sz w:val="21"/>
                <w:szCs w:val="21"/>
                <w:color w:val="auto"/>
              </w:rPr>
            </w:pPr>
          </w:p>
        </w:tc>
        <w:tc>
          <w:tcPr>
            <w:tcW w:w="72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12</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ORIENTATION AND CONTINUING EDUCATION</w:t>
            </w:r>
          </w:p>
        </w:tc>
        <w:tc>
          <w:tcPr>
            <w:tcW w:w="2260" w:type="dxa"/>
            <w:vAlign w:val="bottom"/>
            <w:tcBorders>
              <w:bottom w:val="single" w:sz="8" w:color="CCEEFF"/>
            </w:tcBorders>
            <w:gridSpan w:val="7"/>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12</w:t>
            </w:r>
          </w:p>
        </w:tc>
      </w:tr>
      <w:tr>
        <w:trPr>
          <w:trHeight w:val="250"/>
        </w:trPr>
        <w:tc>
          <w:tcPr>
            <w:tcW w:w="180" w:type="dxa"/>
            <w:vAlign w:val="bottom"/>
          </w:tcPr>
          <w:p>
            <w:pPr>
              <w:spacing w:after="0"/>
              <w:rPr>
                <w:sz w:val="21"/>
                <w:szCs w:val="21"/>
                <w:color w:val="auto"/>
              </w:rPr>
            </w:pPr>
          </w:p>
        </w:tc>
        <w:tc>
          <w:tcPr>
            <w:tcW w:w="35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CORPORATE GOVERNANCE GUIDELINES</w:t>
            </w:r>
          </w:p>
        </w:tc>
        <w:tc>
          <w:tcPr>
            <w:tcW w:w="3680" w:type="dxa"/>
            <w:vAlign w:val="bottom"/>
            <w:gridSpan w:val="13"/>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2"/>
              </w:rPr>
              <w:t>12</w:t>
            </w:r>
          </w:p>
        </w:tc>
      </w:tr>
      <w:tr>
        <w:trPr>
          <w:trHeight w:val="250"/>
        </w:trPr>
        <w:tc>
          <w:tcPr>
            <w:tcW w:w="180" w:type="dxa"/>
            <w:vAlign w:val="bottom"/>
            <w:shd w:val="clear" w:color="auto" w:fill="CCEEFF"/>
          </w:tcPr>
          <w:p>
            <w:pPr>
              <w:spacing w:after="0"/>
              <w:rPr>
                <w:sz w:val="21"/>
                <w:szCs w:val="21"/>
                <w:color w:val="auto"/>
              </w:rPr>
            </w:pPr>
          </w:p>
        </w:tc>
        <w:tc>
          <w:tcPr>
            <w:tcW w:w="72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CONSULTANT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4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82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2"/>
              </w:rPr>
              <w:t>16</w:t>
            </w:r>
          </w:p>
        </w:tc>
      </w:tr>
      <w:tr>
        <w:trPr>
          <w:trHeight w:val="250"/>
        </w:trPr>
        <w:tc>
          <w:tcPr>
            <w:tcW w:w="180" w:type="dxa"/>
            <w:vAlign w:val="bottom"/>
            <w:shd w:val="clear" w:color="auto" w:fill="CCEEFF"/>
          </w:tcPr>
          <w:p>
            <w:pPr>
              <w:spacing w:after="0"/>
              <w:rPr>
                <w:sz w:val="21"/>
                <w:szCs w:val="21"/>
                <w:color w:val="auto"/>
              </w:rPr>
            </w:pPr>
          </w:p>
        </w:tc>
        <w:tc>
          <w:tcPr>
            <w:tcW w:w="72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FAMILY RELATIONSHIPS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STOCKHOLDER ENGAGEMENT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17</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4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2025 DIRECTOR COMPENSATION TABLE</w:t>
            </w:r>
          </w:p>
        </w:tc>
        <w:tc>
          <w:tcPr>
            <w:tcW w:w="3780" w:type="dxa"/>
            <w:vAlign w:val="bottom"/>
            <w:gridSpan w:val="15"/>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2"/>
              </w:rPr>
              <w:t>19</w:t>
            </w:r>
          </w:p>
        </w:tc>
      </w:tr>
      <w:tr>
        <w:trPr>
          <w:trHeight w:val="250"/>
        </w:trPr>
        <w:tc>
          <w:tcPr>
            <w:tcW w:w="496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2460" w:type="dxa"/>
            <w:vAlign w:val="bottom"/>
            <w:tcBorders>
              <w:bottom w:val="single" w:sz="8" w:color="CCEEFF"/>
            </w:tcBorders>
            <w:gridSpan w:val="8"/>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20</w:t>
            </w:r>
          </w:p>
        </w:tc>
      </w:tr>
      <w:tr>
        <w:trPr>
          <w:trHeight w:val="250"/>
        </w:trPr>
        <w:tc>
          <w:tcPr>
            <w:tcW w:w="180" w:type="dxa"/>
            <w:vAlign w:val="bottom"/>
          </w:tcPr>
          <w:p>
            <w:pPr>
              <w:spacing w:after="0"/>
              <w:rPr>
                <w:sz w:val="21"/>
                <w:szCs w:val="21"/>
                <w:color w:val="auto"/>
              </w:rPr>
            </w:pPr>
          </w:p>
        </w:tc>
        <w:tc>
          <w:tcPr>
            <w:tcW w:w="54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 FEES</w:t>
            </w:r>
          </w:p>
        </w:tc>
        <w:tc>
          <w:tcPr>
            <w:tcW w:w="180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2"/>
              </w:rPr>
              <w:t>20</w:t>
            </w:r>
          </w:p>
        </w:tc>
      </w:tr>
      <w:tr>
        <w:trPr>
          <w:trHeight w:val="250"/>
        </w:trPr>
        <w:tc>
          <w:tcPr>
            <w:tcW w:w="180" w:type="dxa"/>
            <w:vAlign w:val="bottom"/>
            <w:shd w:val="clear" w:color="auto" w:fill="CCEEFF"/>
          </w:tcPr>
          <w:p>
            <w:pPr>
              <w:spacing w:after="0"/>
              <w:rPr>
                <w:sz w:val="21"/>
                <w:szCs w:val="21"/>
                <w:color w:val="auto"/>
              </w:rPr>
            </w:pPr>
          </w:p>
        </w:tc>
        <w:tc>
          <w:tcPr>
            <w:tcW w:w="72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 COMMITTEE PRE-APPROVAL POLICIES AND PROCEDURES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5000" w:type="dxa"/>
            <w:vAlign w:val="bottom"/>
            <w:gridSpan w:val="22"/>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2"/>
              </w:rPr>
              <w:t>22</w:t>
            </w:r>
          </w:p>
        </w:tc>
      </w:tr>
      <w:tr>
        <w:trPr>
          <w:trHeight w:val="250"/>
        </w:trPr>
        <w:tc>
          <w:tcPr>
            <w:tcW w:w="2120" w:type="dxa"/>
            <w:vAlign w:val="bottom"/>
            <w:tcBorders>
              <w:bottom w:val="single" w:sz="8" w:color="0000EE"/>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5300" w:type="dxa"/>
            <w:vAlign w:val="bottom"/>
            <w:tcBorders>
              <w:bottom w:val="single" w:sz="8" w:color="CCEEFF"/>
            </w:tcBorders>
            <w:gridSpan w:val="24"/>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23</w:t>
            </w:r>
          </w:p>
        </w:tc>
      </w:tr>
      <w:tr>
        <w:trPr>
          <w:trHeight w:val="250"/>
        </w:trPr>
        <w:tc>
          <w:tcPr>
            <w:tcW w:w="2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4900" w:type="dxa"/>
            <w:vAlign w:val="bottom"/>
            <w:gridSpan w:val="21"/>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2"/>
              </w:rPr>
              <w:t>24</w:t>
            </w:r>
          </w:p>
        </w:tc>
      </w:tr>
      <w:tr>
        <w:trPr>
          <w:trHeight w:val="250"/>
        </w:trPr>
        <w:tc>
          <w:tcPr>
            <w:tcW w:w="5660" w:type="dxa"/>
            <w:vAlign w:val="bottom"/>
            <w:tcBorders>
              <w:bottom w:val="single" w:sz="8" w:color="0000EE"/>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760" w:type="dxa"/>
            <w:vAlign w:val="bottom"/>
            <w:tcBorders>
              <w:bottom w:val="single" w:sz="8" w:color="CCEEFF"/>
            </w:tcBorders>
            <w:gridSpan w:val="5"/>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36</w:t>
            </w:r>
          </w:p>
        </w:tc>
      </w:tr>
    </w:tbl>
    <w:p>
      <w:pPr>
        <w:spacing w:after="0" w:line="37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404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760" w:type="dxa"/>
            <w:vAlign w:val="bottom"/>
            <w:tcBorders>
              <w:bottom w:val="single" w:sz="8" w:color="CCEEFF"/>
            </w:tcBorders>
            <w:gridSpan w:val="6"/>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r>
      <w:tr>
        <w:trPr>
          <w:trHeight w:val="216"/>
        </w:trPr>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38</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7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ITEMS TO BE VOTED 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40</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6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PROPOSAL 1: ELECTION OF CLASS III DIRECTORS FOR A THREE-YEAR TERM EXPIRING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20" w:type="dxa"/>
            <w:vAlign w:val="bottom"/>
            <w:gridSpan w:val="14"/>
          </w:tcPr>
          <w:p>
            <w:pPr>
              <w:ind w:left="180"/>
              <w:spacing w:after="0" w:line="196" w:lineRule="exact"/>
              <w:rPr>
                <w:sz w:val="20"/>
                <w:szCs w:val="20"/>
                <w:color w:val="auto"/>
              </w:rPr>
            </w:pPr>
            <w:r>
              <w:rPr>
                <w:rFonts w:ascii="Times New Roman" w:cs="Times New Roman" w:eastAsia="Times New Roman" w:hAnsi="Times New Roman"/>
                <w:sz w:val="18"/>
                <w:szCs w:val="18"/>
                <w:color w:val="0000EE"/>
              </w:rPr>
              <w:t>IN 2029</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r>
      <w:tr>
        <w:trPr>
          <w:trHeight w:val="216"/>
        </w:trPr>
        <w:tc>
          <w:tcPr>
            <w:tcW w:w="180" w:type="dxa"/>
            <w:vAlign w:val="bottom"/>
            <w:shd w:val="clear" w:color="auto" w:fill="CCEEFF"/>
          </w:tcPr>
          <w:p>
            <w:pPr>
              <w:spacing w:after="0"/>
              <w:rPr>
                <w:sz w:val="18"/>
                <w:szCs w:val="18"/>
                <w:color w:val="auto"/>
              </w:rPr>
            </w:pPr>
          </w:p>
        </w:tc>
        <w:tc>
          <w:tcPr>
            <w:tcW w:w="76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RATIFICATION OF APPOINTMENT OF KPMG LLP AS OUR INDEPENDENT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0000EE"/>
            </w:tcBorders>
            <w:gridSpan w:val="1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 FOR 2026</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41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r>
      <w:tr>
        <w:trPr>
          <w:trHeight w:val="229"/>
        </w:trPr>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100" w:type="dxa"/>
            <w:vAlign w:val="bottom"/>
            <w:tcBorders>
              <w:bottom w:val="single" w:sz="8" w:color="CCEEFF"/>
            </w:tcBorders>
            <w:gridSpan w:val="11"/>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r>
      <w:tr>
        <w:trPr>
          <w:trHeight w:val="216"/>
        </w:trPr>
        <w:tc>
          <w:tcPr>
            <w:tcW w:w="180" w:type="dxa"/>
            <w:vAlign w:val="bottom"/>
          </w:tcPr>
          <w:p>
            <w:pPr>
              <w:spacing w:after="0"/>
              <w:rPr>
                <w:sz w:val="18"/>
                <w:szCs w:val="18"/>
                <w:color w:val="auto"/>
              </w:rPr>
            </w:pPr>
          </w:p>
        </w:tc>
        <w:tc>
          <w:tcPr>
            <w:tcW w:w="74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REQUIREMENTS FOR SUBMISSION OF STOCKHOLDER PROPOSALS FOR NEXT YEAR’S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20" w:type="dxa"/>
            <w:vAlign w:val="bottom"/>
            <w:gridSpan w:val="14"/>
          </w:tcPr>
          <w:p>
            <w:pPr>
              <w:ind w:left="180"/>
              <w:spacing w:after="0" w:line="196" w:lineRule="exact"/>
              <w:rPr>
                <w:sz w:val="20"/>
                <w:szCs w:val="20"/>
                <w:color w:val="auto"/>
              </w:rPr>
            </w:pPr>
            <w:r>
              <w:rPr>
                <w:rFonts w:ascii="Times New Roman" w:cs="Times New Roman" w:eastAsia="Times New Roman" w:hAnsi="Times New Roman"/>
                <w:sz w:val="18"/>
                <w:szCs w:val="18"/>
                <w:color w:val="0000EE"/>
              </w:rPr>
              <w:t>ANNUAL MEETING</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42</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STOCKHOLDER COMMUNICATIONS TO THE BOARD</w:t>
            </w:r>
          </w:p>
        </w:tc>
        <w:tc>
          <w:tcPr>
            <w:tcW w:w="3120" w:type="dxa"/>
            <w:vAlign w:val="bottom"/>
            <w:tcBorders>
              <w:bottom w:val="single" w:sz="8" w:color="CCEEFF"/>
            </w:tcBorders>
            <w:gridSpan w:val="5"/>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r>
      <w:tr>
        <w:trPr>
          <w:trHeight w:val="229"/>
        </w:trPr>
        <w:tc>
          <w:tcPr>
            <w:tcW w:w="180" w:type="dxa"/>
            <w:vAlign w:val="bottom"/>
          </w:tcPr>
          <w:p>
            <w:pPr>
              <w:spacing w:after="0"/>
              <w:rPr>
                <w:sz w:val="19"/>
                <w:szCs w:val="19"/>
                <w:color w:val="auto"/>
              </w:rPr>
            </w:pPr>
          </w:p>
        </w:tc>
        <w:tc>
          <w:tcPr>
            <w:tcW w:w="2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AVAILABILITY OF MATERIALS</w:t>
            </w:r>
          </w:p>
        </w:tc>
        <w:tc>
          <w:tcPr>
            <w:tcW w:w="4960" w:type="dxa"/>
            <w:vAlign w:val="bottom"/>
            <w:gridSpan w:val="7"/>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43</w:t>
            </w:r>
          </w:p>
        </w:tc>
      </w:tr>
    </w:tbl>
    <w:p>
      <w:pPr>
        <w:spacing w:after="0" w:line="3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This Proxy Statement, with the enclosed proxy card, is being mailed to stockholders of the Company in connection with the solicitation by our Board of proxies to be voted at our Annual Meeting and at any postponements or adjournments thereof. The Annual Meeting will be held on Friday, June 12, 2026, at 9:30 a.m., Pacific Time, via the internet at https://web.lumiconnect.com/217605655, using the password sagimet2026.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58" w:lineRule="exact"/>
        <w:rPr>
          <w:sz w:val="20"/>
          <w:szCs w:val="20"/>
          <w:color w:val="auto"/>
        </w:rPr>
      </w:pPr>
    </w:p>
    <w:p>
      <w:pPr>
        <w:ind w:left="1260" w:right="6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101"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Proxy Statement and the proxy card are being mailed to our stockholders on or about April 28, 2026. This Proxy Statement and our 2025 Annual Report are available to holders of our Series A common stock at www.astproxyportal.com/ast/27458. If you would like to receive, without charge, a paper copy of our 2025 Annual Report, including the financial statements, please send your request to: Chief Legal &amp; Administrative Officer, Sagimet Biosciences Inc., 155 Bovet Road, Suite 303, San Mateo, California 94402.</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All stockholders of record of our Series A common stock at the close of business on April 17, 2026, or the Record Date, are entitled to receive the Notice and to vote their shares at the Annual Meeting. As of that date, 32,017,613 shares of our Series A common stock were outstanding. Each share is entitled to one vote on each matter properly brought to the meeting. Holders of our Series B common stock are not entitled to vote on any matters that will come before the Annual Meeting.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137160</wp:posOffset>
            </wp:positionV>
            <wp:extent cx="4560570" cy="642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6057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260" w:type="dxa"/>
            <w:vAlign w:val="bottom"/>
            <w:vMerge w:val="restart"/>
            <w:shd w:val="clear" w:color="auto" w:fill="52A69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MAIL</w:t>
            </w:r>
          </w:p>
        </w:tc>
        <w:tc>
          <w:tcPr>
            <w:tcW w:w="220" w:type="dxa"/>
            <w:vAlign w:val="bottom"/>
          </w:tcPr>
          <w:p>
            <w:pPr>
              <w:spacing w:after="0"/>
              <w:rPr>
                <w:sz w:val="20"/>
                <w:szCs w:val="20"/>
                <w:color w:val="auto"/>
              </w:rPr>
            </w:pPr>
          </w:p>
        </w:tc>
        <w:tc>
          <w:tcPr>
            <w:tcW w:w="1720" w:type="dxa"/>
            <w:vAlign w:val="bottom"/>
            <w:vMerge w:val="restart"/>
            <w:shd w:val="clear" w:color="auto" w:fill="52A69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INTERNET</w:t>
            </w:r>
          </w:p>
        </w:tc>
        <w:tc>
          <w:tcPr>
            <w:tcW w:w="220" w:type="dxa"/>
            <w:vAlign w:val="bottom"/>
          </w:tcPr>
          <w:p>
            <w:pPr>
              <w:spacing w:after="0"/>
              <w:rPr>
                <w:sz w:val="20"/>
                <w:szCs w:val="20"/>
                <w:color w:val="auto"/>
              </w:rPr>
            </w:pPr>
          </w:p>
        </w:tc>
        <w:tc>
          <w:tcPr>
            <w:tcW w:w="1460" w:type="dxa"/>
            <w:vAlign w:val="bottom"/>
            <w:vMerge w:val="restart"/>
            <w:shd w:val="clear" w:color="auto" w:fill="52A69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PHONE</w:t>
            </w:r>
          </w:p>
        </w:tc>
        <w:tc>
          <w:tcPr>
            <w:tcW w:w="200" w:type="dxa"/>
            <w:vAlign w:val="bottom"/>
          </w:tcPr>
          <w:p>
            <w:pPr>
              <w:spacing w:after="0"/>
              <w:rPr>
                <w:sz w:val="20"/>
                <w:szCs w:val="20"/>
                <w:color w:val="auto"/>
              </w:rPr>
            </w:pPr>
          </w:p>
        </w:tc>
        <w:tc>
          <w:tcPr>
            <w:tcW w:w="3120" w:type="dxa"/>
            <w:vAlign w:val="bottom"/>
            <w:shd w:val="clear" w:color="auto" w:fill="52A69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THE</w:t>
            </w:r>
          </w:p>
        </w:tc>
        <w:tc>
          <w:tcPr>
            <w:tcW w:w="0" w:type="dxa"/>
            <w:vAlign w:val="bottom"/>
          </w:tcPr>
          <w:p>
            <w:pPr>
              <w:spacing w:after="0"/>
              <w:rPr>
                <w:sz w:val="1"/>
                <w:szCs w:val="1"/>
                <w:color w:val="auto"/>
              </w:rPr>
            </w:pPr>
          </w:p>
        </w:tc>
      </w:tr>
      <w:tr>
        <w:trPr>
          <w:trHeight w:val="117"/>
        </w:trPr>
        <w:tc>
          <w:tcPr>
            <w:tcW w:w="1260" w:type="dxa"/>
            <w:vAlign w:val="bottom"/>
            <w:vMerge w:val="continue"/>
            <w:shd w:val="clear" w:color="auto" w:fill="52A69B"/>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vMerge w:val="continue"/>
            <w:shd w:val="clear" w:color="auto" w:fill="52A69B"/>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vMerge w:val="continue"/>
            <w:shd w:val="clear" w:color="auto" w:fill="52A69B"/>
          </w:tcPr>
          <w:p>
            <w:pPr>
              <w:spacing w:after="0"/>
              <w:rPr>
                <w:sz w:val="10"/>
                <w:szCs w:val="10"/>
                <w:color w:val="auto"/>
              </w:rPr>
            </w:pPr>
          </w:p>
        </w:tc>
        <w:tc>
          <w:tcPr>
            <w:tcW w:w="200" w:type="dxa"/>
            <w:vAlign w:val="bottom"/>
          </w:tcPr>
          <w:p>
            <w:pPr>
              <w:spacing w:after="0"/>
              <w:rPr>
                <w:sz w:val="10"/>
                <w:szCs w:val="10"/>
                <w:color w:val="auto"/>
              </w:rPr>
            </w:pPr>
          </w:p>
        </w:tc>
        <w:tc>
          <w:tcPr>
            <w:tcW w:w="3120" w:type="dxa"/>
            <w:vAlign w:val="bottom"/>
            <w:vMerge w:val="restart"/>
            <w:shd w:val="clear" w:color="auto" w:fill="52A69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MEETING</w:t>
            </w:r>
          </w:p>
        </w:tc>
        <w:tc>
          <w:tcPr>
            <w:tcW w:w="0" w:type="dxa"/>
            <w:vAlign w:val="bottom"/>
          </w:tcPr>
          <w:p>
            <w:pPr>
              <w:spacing w:after="0"/>
              <w:rPr>
                <w:sz w:val="1"/>
                <w:szCs w:val="1"/>
                <w:color w:val="auto"/>
              </w:rPr>
            </w:pPr>
          </w:p>
        </w:tc>
      </w:tr>
      <w:tr>
        <w:trPr>
          <w:trHeight w:val="135"/>
        </w:trPr>
        <w:tc>
          <w:tcPr>
            <w:tcW w:w="1260" w:type="dxa"/>
            <w:vAlign w:val="bottom"/>
            <w:shd w:val="clear" w:color="auto" w:fill="52A69B"/>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shd w:val="clear" w:color="auto" w:fill="52A69B"/>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shd w:val="clear" w:color="auto" w:fill="52A69B"/>
          </w:tcPr>
          <w:p>
            <w:pPr>
              <w:spacing w:after="0"/>
              <w:rPr>
                <w:sz w:val="11"/>
                <w:szCs w:val="11"/>
                <w:color w:val="auto"/>
              </w:rPr>
            </w:pPr>
          </w:p>
        </w:tc>
        <w:tc>
          <w:tcPr>
            <w:tcW w:w="200" w:type="dxa"/>
            <w:vAlign w:val="bottom"/>
          </w:tcPr>
          <w:p>
            <w:pPr>
              <w:spacing w:after="0"/>
              <w:rPr>
                <w:sz w:val="11"/>
                <w:szCs w:val="11"/>
                <w:color w:val="auto"/>
              </w:rPr>
            </w:pPr>
          </w:p>
        </w:tc>
        <w:tc>
          <w:tcPr>
            <w:tcW w:w="3120" w:type="dxa"/>
            <w:vAlign w:val="bottom"/>
            <w:vMerge w:val="continue"/>
            <w:shd w:val="clear" w:color="auto" w:fill="52A69B"/>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260" w:type="dxa"/>
            <w:vAlign w:val="bottom"/>
            <w:shd w:val="clear" w:color="auto" w:fill="E5E5E5"/>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shd w:val="clear" w:color="auto" w:fill="E5E5E5"/>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Calling toll-free</w:t>
            </w:r>
          </w:p>
        </w:tc>
        <w:tc>
          <w:tcPr>
            <w:tcW w:w="200" w:type="dxa"/>
            <w:vAlign w:val="bottom"/>
          </w:tcPr>
          <w:p>
            <w:pPr>
              <w:spacing w:after="0"/>
              <w:rPr>
                <w:sz w:val="20"/>
                <w:szCs w:val="20"/>
                <w:color w:val="auto"/>
              </w:rPr>
            </w:pPr>
          </w:p>
        </w:tc>
        <w:tc>
          <w:tcPr>
            <w:tcW w:w="31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from the United</w:t>
            </w:r>
          </w:p>
        </w:tc>
        <w:tc>
          <w:tcPr>
            <w:tcW w:w="200" w:type="dxa"/>
            <w:vAlign w:val="bottom"/>
          </w:tcPr>
          <w:p>
            <w:pPr>
              <w:spacing w:after="0"/>
              <w:rPr>
                <w:sz w:val="18"/>
                <w:szCs w:val="18"/>
                <w:color w:val="auto"/>
              </w:rPr>
            </w:pPr>
          </w:p>
        </w:tc>
        <w:tc>
          <w:tcPr>
            <w:tcW w:w="3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Mailing your</w:t>
            </w:r>
          </w:p>
        </w:tc>
        <w:tc>
          <w:tcPr>
            <w:tcW w:w="220" w:type="dxa"/>
            <w:vAlign w:val="bottom"/>
          </w:tcPr>
          <w:p>
            <w:pPr>
              <w:spacing w:after="0"/>
              <w:rPr>
                <w:sz w:val="18"/>
                <w:szCs w:val="18"/>
                <w:color w:val="auto"/>
              </w:rPr>
            </w:pPr>
          </w:p>
        </w:tc>
        <w:tc>
          <w:tcPr>
            <w:tcW w:w="17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Using the internet at</w:t>
            </w:r>
          </w:p>
        </w:tc>
        <w:tc>
          <w:tcPr>
            <w:tcW w:w="220" w:type="dxa"/>
            <w:vAlign w:val="bottom"/>
          </w:tcPr>
          <w:p>
            <w:pPr>
              <w:spacing w:after="0"/>
              <w:rPr>
                <w:sz w:val="18"/>
                <w:szCs w:val="18"/>
                <w:color w:val="auto"/>
              </w:rPr>
            </w:pPr>
          </w:p>
        </w:tc>
        <w:tc>
          <w:tcPr>
            <w:tcW w:w="14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States, U.S.</w:t>
            </w:r>
          </w:p>
        </w:tc>
        <w:tc>
          <w:tcPr>
            <w:tcW w:w="200" w:type="dxa"/>
            <w:vAlign w:val="bottom"/>
          </w:tcPr>
          <w:p>
            <w:pPr>
              <w:spacing w:after="0"/>
              <w:rPr>
                <w:sz w:val="18"/>
                <w:szCs w:val="18"/>
                <w:color w:val="auto"/>
              </w:rPr>
            </w:pPr>
          </w:p>
        </w:tc>
        <w:tc>
          <w:tcPr>
            <w:tcW w:w="3120" w:type="dxa"/>
            <w:vAlign w:val="bottom"/>
            <w:vMerge w:val="restart"/>
            <w:shd w:val="clear" w:color="auto" w:fill="E5E5E5"/>
          </w:tcPr>
          <w:p>
            <w:pPr>
              <w:ind w:left="140"/>
              <w:spacing w:after="0"/>
              <w:rPr>
                <w:sz w:val="20"/>
                <w:szCs w:val="20"/>
                <w:color w:val="auto"/>
              </w:rPr>
            </w:pPr>
            <w:r>
              <w:rPr>
                <w:rFonts w:ascii="Times New Roman" w:cs="Times New Roman" w:eastAsia="Times New Roman" w:hAnsi="Times New Roman"/>
                <w:sz w:val="18"/>
                <w:szCs w:val="18"/>
                <w:color w:val="auto"/>
              </w:rPr>
              <w:t>You can vote at the meeting at https://​</w:t>
            </w:r>
          </w:p>
        </w:tc>
        <w:tc>
          <w:tcPr>
            <w:tcW w:w="0" w:type="dxa"/>
            <w:vAlign w:val="bottom"/>
          </w:tcPr>
          <w:p>
            <w:pPr>
              <w:spacing w:after="0"/>
              <w:rPr>
                <w:sz w:val="1"/>
                <w:szCs w:val="1"/>
                <w:color w:val="auto"/>
              </w:rPr>
            </w:pPr>
          </w:p>
        </w:tc>
      </w:tr>
      <w:tr>
        <w:trPr>
          <w:trHeight w:val="122"/>
        </w:trPr>
        <w:tc>
          <w:tcPr>
            <w:tcW w:w="12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signed proxy</w:t>
            </w:r>
          </w:p>
        </w:tc>
        <w:tc>
          <w:tcPr>
            <w:tcW w:w="220" w:type="dxa"/>
            <w:vAlign w:val="bottom"/>
          </w:tcPr>
          <w:p>
            <w:pPr>
              <w:spacing w:after="0"/>
              <w:rPr>
                <w:sz w:val="10"/>
                <w:szCs w:val="10"/>
                <w:color w:val="auto"/>
              </w:rPr>
            </w:pPr>
          </w:p>
        </w:tc>
        <w:tc>
          <w:tcPr>
            <w:tcW w:w="17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www.voteproxy.com</w:t>
            </w:r>
          </w:p>
        </w:tc>
        <w:tc>
          <w:tcPr>
            <w:tcW w:w="220" w:type="dxa"/>
            <w:vAlign w:val="bottom"/>
          </w:tcPr>
          <w:p>
            <w:pPr>
              <w:spacing w:after="0"/>
              <w:rPr>
                <w:sz w:val="10"/>
                <w:szCs w:val="10"/>
                <w:color w:val="auto"/>
              </w:rPr>
            </w:pPr>
          </w:p>
        </w:tc>
        <w:tc>
          <w:tcPr>
            <w:tcW w:w="14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territories to 1-</w:t>
            </w:r>
          </w:p>
        </w:tc>
        <w:tc>
          <w:tcPr>
            <w:tcW w:w="200" w:type="dxa"/>
            <w:vAlign w:val="bottom"/>
          </w:tcPr>
          <w:p>
            <w:pPr>
              <w:spacing w:after="0"/>
              <w:rPr>
                <w:sz w:val="10"/>
                <w:szCs w:val="10"/>
                <w:color w:val="auto"/>
              </w:rPr>
            </w:pPr>
          </w:p>
        </w:tc>
        <w:tc>
          <w:tcPr>
            <w:tcW w:w="312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shd w:val="clear" w:color="auto" w:fill="E5E5E5"/>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vMerge w:val="continue"/>
            <w:shd w:val="clear" w:color="auto" w:fill="E5E5E5"/>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shd w:val="clear" w:color="auto" w:fill="E5E5E5"/>
          </w:tcPr>
          <w:p>
            <w:pPr>
              <w:spacing w:after="0"/>
              <w:rPr>
                <w:sz w:val="8"/>
                <w:szCs w:val="8"/>
                <w:color w:val="auto"/>
              </w:rPr>
            </w:pPr>
          </w:p>
        </w:tc>
        <w:tc>
          <w:tcPr>
            <w:tcW w:w="200" w:type="dxa"/>
            <w:vAlign w:val="bottom"/>
          </w:tcPr>
          <w:p>
            <w:pPr>
              <w:spacing w:after="0"/>
              <w:rPr>
                <w:sz w:val="8"/>
                <w:szCs w:val="8"/>
                <w:color w:val="auto"/>
              </w:rPr>
            </w:pPr>
          </w:p>
        </w:tc>
        <w:tc>
          <w:tcPr>
            <w:tcW w:w="31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web.lumiconnect.com/​217605655</w:t>
            </w:r>
          </w:p>
        </w:tc>
        <w:tc>
          <w:tcPr>
            <w:tcW w:w="0" w:type="dxa"/>
            <w:vAlign w:val="bottom"/>
          </w:tcPr>
          <w:p>
            <w:pPr>
              <w:spacing w:after="0"/>
              <w:rPr>
                <w:sz w:val="1"/>
                <w:szCs w:val="1"/>
                <w:color w:val="auto"/>
              </w:rPr>
            </w:pPr>
          </w:p>
        </w:tc>
      </w:tr>
      <w:tr>
        <w:trPr>
          <w:trHeight w:val="122"/>
        </w:trPr>
        <w:tc>
          <w:tcPr>
            <w:tcW w:w="12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card or voter</w:t>
            </w:r>
          </w:p>
        </w:tc>
        <w:tc>
          <w:tcPr>
            <w:tcW w:w="220" w:type="dxa"/>
            <w:vAlign w:val="bottom"/>
          </w:tcPr>
          <w:p>
            <w:pPr>
              <w:spacing w:after="0"/>
              <w:rPr>
                <w:sz w:val="10"/>
                <w:szCs w:val="10"/>
                <w:color w:val="auto"/>
              </w:rPr>
            </w:pPr>
          </w:p>
        </w:tc>
        <w:tc>
          <w:tcPr>
            <w:tcW w:w="17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and follow the on-</w:t>
            </w:r>
          </w:p>
        </w:tc>
        <w:tc>
          <w:tcPr>
            <w:tcW w:w="220" w:type="dxa"/>
            <w:vAlign w:val="bottom"/>
          </w:tcPr>
          <w:p>
            <w:pPr>
              <w:spacing w:after="0"/>
              <w:rPr>
                <w:sz w:val="10"/>
                <w:szCs w:val="10"/>
                <w:color w:val="auto"/>
              </w:rPr>
            </w:pPr>
          </w:p>
        </w:tc>
        <w:tc>
          <w:tcPr>
            <w:tcW w:w="14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800-PROXIES and</w:t>
            </w:r>
          </w:p>
        </w:tc>
        <w:tc>
          <w:tcPr>
            <w:tcW w:w="200" w:type="dxa"/>
            <w:vAlign w:val="bottom"/>
          </w:tcPr>
          <w:p>
            <w:pPr>
              <w:spacing w:after="0"/>
              <w:rPr>
                <w:sz w:val="10"/>
                <w:szCs w:val="10"/>
                <w:color w:val="auto"/>
              </w:rPr>
            </w:pPr>
          </w:p>
        </w:tc>
        <w:tc>
          <w:tcPr>
            <w:tcW w:w="312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60" w:type="dxa"/>
            <w:vAlign w:val="bottom"/>
            <w:vMerge w:val="continue"/>
            <w:shd w:val="clear" w:color="auto" w:fill="E5E5E5"/>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vMerge w:val="continue"/>
            <w:shd w:val="clear" w:color="auto" w:fill="E5E5E5"/>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vMerge w:val="continue"/>
            <w:shd w:val="clear" w:color="auto" w:fill="E5E5E5"/>
          </w:tcPr>
          <w:p>
            <w:pPr>
              <w:spacing w:after="0"/>
              <w:rPr>
                <w:sz w:val="8"/>
                <w:szCs w:val="8"/>
                <w:color w:val="auto"/>
              </w:rPr>
            </w:pPr>
          </w:p>
        </w:tc>
        <w:tc>
          <w:tcPr>
            <w:tcW w:w="200" w:type="dxa"/>
            <w:vAlign w:val="bottom"/>
          </w:tcPr>
          <w:p>
            <w:pPr>
              <w:spacing w:after="0"/>
              <w:rPr>
                <w:sz w:val="8"/>
                <w:szCs w:val="8"/>
                <w:color w:val="auto"/>
              </w:rPr>
            </w:pPr>
          </w:p>
        </w:tc>
        <w:tc>
          <w:tcPr>
            <w:tcW w:w="31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(password: sagimet2026)</w:t>
            </w:r>
          </w:p>
        </w:tc>
        <w:tc>
          <w:tcPr>
            <w:tcW w:w="0" w:type="dxa"/>
            <w:vAlign w:val="bottom"/>
          </w:tcPr>
          <w:p>
            <w:pPr>
              <w:spacing w:after="0"/>
              <w:rPr>
                <w:sz w:val="1"/>
                <w:szCs w:val="1"/>
                <w:color w:val="auto"/>
              </w:rPr>
            </w:pPr>
          </w:p>
        </w:tc>
      </w:tr>
      <w:tr>
        <w:trPr>
          <w:trHeight w:val="140"/>
        </w:trPr>
        <w:tc>
          <w:tcPr>
            <w:tcW w:w="12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instruction card.</w:t>
            </w:r>
          </w:p>
        </w:tc>
        <w:tc>
          <w:tcPr>
            <w:tcW w:w="220" w:type="dxa"/>
            <w:vAlign w:val="bottom"/>
          </w:tcPr>
          <w:p>
            <w:pPr>
              <w:spacing w:after="0"/>
              <w:rPr>
                <w:sz w:val="12"/>
                <w:szCs w:val="12"/>
                <w:color w:val="auto"/>
              </w:rPr>
            </w:pPr>
          </w:p>
        </w:tc>
        <w:tc>
          <w:tcPr>
            <w:tcW w:w="17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screen instructions.</w:t>
            </w:r>
          </w:p>
        </w:tc>
        <w:tc>
          <w:tcPr>
            <w:tcW w:w="220" w:type="dxa"/>
            <w:vAlign w:val="bottom"/>
          </w:tcPr>
          <w:p>
            <w:pPr>
              <w:spacing w:after="0"/>
              <w:rPr>
                <w:sz w:val="12"/>
                <w:szCs w:val="12"/>
                <w:color w:val="auto"/>
              </w:rPr>
            </w:pPr>
          </w:p>
        </w:tc>
        <w:tc>
          <w:tcPr>
            <w:tcW w:w="14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foreign countries</w:t>
            </w:r>
          </w:p>
        </w:tc>
        <w:tc>
          <w:tcPr>
            <w:tcW w:w="200" w:type="dxa"/>
            <w:vAlign w:val="bottom"/>
          </w:tcPr>
          <w:p>
            <w:pPr>
              <w:spacing w:after="0"/>
              <w:rPr>
                <w:sz w:val="12"/>
                <w:szCs w:val="12"/>
                <w:color w:val="auto"/>
              </w:rPr>
            </w:pPr>
          </w:p>
        </w:tc>
        <w:tc>
          <w:tcPr>
            <w:tcW w:w="312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260" w:type="dxa"/>
            <w:vAlign w:val="bottom"/>
            <w:vMerge w:val="continue"/>
            <w:shd w:val="clear" w:color="auto" w:fill="E5E5E5"/>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vMerge w:val="continue"/>
            <w:shd w:val="clear" w:color="auto" w:fill="E5E5E5"/>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shd w:val="clear" w:color="auto" w:fill="E5E5E5"/>
          </w:tcPr>
          <w:p>
            <w:pPr>
              <w:spacing w:after="0"/>
              <w:rPr>
                <w:sz w:val="6"/>
                <w:szCs w:val="6"/>
                <w:color w:val="auto"/>
              </w:rPr>
            </w:pPr>
          </w:p>
        </w:tc>
        <w:tc>
          <w:tcPr>
            <w:tcW w:w="200" w:type="dxa"/>
            <w:vAlign w:val="bottom"/>
          </w:tcPr>
          <w:p>
            <w:pPr>
              <w:spacing w:after="0"/>
              <w:rPr>
                <w:sz w:val="6"/>
                <w:szCs w:val="6"/>
                <w:color w:val="auto"/>
              </w:rPr>
            </w:pPr>
          </w:p>
        </w:tc>
        <w:tc>
          <w:tcPr>
            <w:tcW w:w="312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200" w:type="dxa"/>
            <w:vAlign w:val="bottom"/>
          </w:tcPr>
          <w:p>
            <w:pPr>
              <w:spacing w:after="0"/>
              <w:rPr>
                <w:sz w:val="18"/>
                <w:szCs w:val="18"/>
                <w:color w:val="auto"/>
              </w:rPr>
            </w:pPr>
          </w:p>
        </w:tc>
        <w:tc>
          <w:tcPr>
            <w:tcW w:w="3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E5E5E5"/>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shd w:val="clear" w:color="auto" w:fill="E5E5E5"/>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1-201-299-4446.</w:t>
            </w:r>
          </w:p>
        </w:tc>
        <w:tc>
          <w:tcPr>
            <w:tcW w:w="200" w:type="dxa"/>
            <w:vAlign w:val="bottom"/>
          </w:tcPr>
          <w:p>
            <w:pPr>
              <w:spacing w:after="0"/>
              <w:rPr>
                <w:sz w:val="20"/>
                <w:szCs w:val="20"/>
                <w:color w:val="auto"/>
              </w:rPr>
            </w:pPr>
          </w:p>
        </w:tc>
        <w:tc>
          <w:tcPr>
            <w:tcW w:w="31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260" w:type="dxa"/>
            <w:vAlign w:val="bottom"/>
            <w:shd w:val="clear" w:color="auto" w:fill="E5E5E5"/>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shd w:val="clear" w:color="auto" w:fill="E5E5E5"/>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shd w:val="clear" w:color="auto" w:fill="E5E5E5"/>
          </w:tcPr>
          <w:p>
            <w:pPr>
              <w:spacing w:after="0"/>
              <w:rPr>
                <w:sz w:val="7"/>
                <w:szCs w:val="7"/>
                <w:color w:val="auto"/>
              </w:rPr>
            </w:pPr>
          </w:p>
        </w:tc>
        <w:tc>
          <w:tcPr>
            <w:tcW w:w="200" w:type="dxa"/>
            <w:vAlign w:val="bottom"/>
          </w:tcPr>
          <w:p>
            <w:pPr>
              <w:spacing w:after="0"/>
              <w:rPr>
                <w:sz w:val="7"/>
                <w:szCs w:val="7"/>
                <w:color w:val="auto"/>
              </w:rPr>
            </w:pPr>
          </w:p>
        </w:tc>
        <w:tc>
          <w:tcPr>
            <w:tcW w:w="312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YOUR SHARES WILL BE VOTED</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69" w:lineRule="exact"/>
        <w:rPr>
          <w:sz w:val="20"/>
          <w:szCs w:val="20"/>
          <w:color w:val="auto"/>
        </w:rPr>
      </w:pPr>
    </w:p>
    <w:p>
      <w:pPr>
        <w:ind w:left="1800" w:right="43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 You may not revoke or change your vote over the internet or by telephone after</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 p.m. Eastern Time, or 8:59 p.m. Pacific Time, on June 11, 2026.</w:t>
      </w:r>
    </w:p>
    <w:p>
      <w:pPr>
        <w:spacing w:after="0" w:line="98"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new proxy card and submit it by mail, which must be received no later than June 11, 2026. Only your latest dated proxy card will be counted.</w:t>
      </w:r>
    </w:p>
    <w:p>
      <w:pPr>
        <w:spacing w:after="0" w:line="40"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Corporate Secretary written notice before or during the meeting that you want to revoke your proxy.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 the Annual Meeting at https://web.lumiconnect.com/217605655, using the password sagimet2026.</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Virtually attending the Annual Meeting will not by itself revoke a previously granted proxy.</w:t>
      </w:r>
    </w:p>
    <w:p>
      <w:pPr>
        <w:spacing w:after="0" w:line="90"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If your shares are held by your broker, bank or other holder of record as a nominee or agent (i.e., the shares are held in street name), you should follow the instructions provided by your broker, bank or other holder of record.</w:t>
      </w:r>
    </w:p>
    <w:p>
      <w:pPr>
        <w:spacing w:after="0" w:line="4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Deadline for Voting</w:t>
      </w:r>
      <w:r>
        <w:rPr>
          <w:rFonts w:ascii="Times New Roman" w:cs="Times New Roman" w:eastAsia="Times New Roman" w:hAnsi="Times New Roman"/>
          <w:sz w:val="18"/>
          <w:szCs w:val="18"/>
          <w:color w:val="auto"/>
        </w:rPr>
        <w:t>. The deadline for voting by telephone or internet, other than by virtually attending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 Meeting, is 11:59 p.m. Eastern Time, or 8:59 p.m. Pacific Time, on June 11, 2026. If you are a registered stockholder and virtually attend the Annual Meeting, you may deliver your vote online during the Annual Meeting. “Street name” stockholders who wish to vote at the Annual Meeting will need to obtain a proxy form from the institution that holds their shares.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VOTING AND VOTES REQUIRED FOR EACH PROPOSAL</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4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5B66E5"/>
                <w:w w:val="98"/>
              </w:rPr>
              <w:t>TREATMENT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5B66E5"/>
                <w:w w:val="98"/>
              </w:rPr>
              <w:t>BROKER</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5B66E5"/>
              </w:rPr>
              <w:t>VOTES</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5B66E5"/>
              </w:rPr>
              <w:t>ABSTENTIONS 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5B66E5"/>
                <w:w w:val="99"/>
              </w:rPr>
              <w:t>DISCRETIONARY</w:t>
            </w:r>
          </w:p>
        </w:tc>
        <w:tc>
          <w:tcPr>
            <w:tcW w:w="0" w:type="dxa"/>
            <w:vAlign w:val="bottom"/>
          </w:tcPr>
          <w:p>
            <w:pPr>
              <w:spacing w:after="0"/>
              <w:rPr>
                <w:sz w:val="1"/>
                <w:szCs w:val="1"/>
                <w:color w:val="auto"/>
              </w:rPr>
            </w:pPr>
          </w:p>
        </w:tc>
      </w:tr>
      <w:tr>
        <w:trPr>
          <w:trHeight w:val="187"/>
        </w:trPr>
        <w:tc>
          <w:tcPr>
            <w:tcW w:w="3320" w:type="dxa"/>
            <w:vAlign w:val="bottom"/>
            <w:tcBorders>
              <w:bottom w:val="single" w:sz="8" w:color="52A69B"/>
            </w:tcBorders>
          </w:tcPr>
          <w:p>
            <w:pPr>
              <w:spacing w:after="0"/>
              <w:rPr>
                <w:sz w:val="20"/>
                <w:szCs w:val="20"/>
                <w:color w:val="auto"/>
              </w:rPr>
            </w:pPr>
            <w:r>
              <w:rPr>
                <w:rFonts w:ascii="Times New Roman" w:cs="Times New Roman" w:eastAsia="Times New Roman" w:hAnsi="Times New Roman"/>
                <w:sz w:val="14"/>
                <w:szCs w:val="14"/>
                <w:b w:val="1"/>
                <w:bCs w:val="1"/>
                <w:color w:val="5B66E5"/>
              </w:rPr>
              <w:t>VOTING MATTERS</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5B66E5"/>
              </w:rPr>
              <w:t>​</w:t>
            </w:r>
          </w:p>
        </w:tc>
        <w:tc>
          <w:tcPr>
            <w:tcW w:w="1460" w:type="dxa"/>
            <w:vAlign w:val="bottom"/>
            <w:tcBorders>
              <w:bottom w:val="single" w:sz="8" w:color="52A69B"/>
            </w:tcBorders>
          </w:tcPr>
          <w:p>
            <w:pPr>
              <w:jc w:val="center"/>
              <w:spacing w:after="0"/>
              <w:rPr>
                <w:sz w:val="20"/>
                <w:szCs w:val="20"/>
                <w:color w:val="auto"/>
              </w:rPr>
            </w:pPr>
            <w:r>
              <w:rPr>
                <w:rFonts w:ascii="Times New Roman" w:cs="Times New Roman" w:eastAsia="Times New Roman" w:hAnsi="Times New Roman"/>
                <w:sz w:val="14"/>
                <w:szCs w:val="14"/>
                <w:b w:val="1"/>
                <w:bCs w:val="1"/>
                <w:color w:val="5B66E5"/>
              </w:rPr>
              <w:t>REQUIRED</w:t>
            </w:r>
          </w:p>
        </w:tc>
        <w:tc>
          <w:tcPr>
            <w:tcW w:w="160" w:type="dxa"/>
            <w:vAlign w:val="bottom"/>
          </w:tcPr>
          <w:p>
            <w:pPr>
              <w:spacing w:after="0"/>
              <w:rPr>
                <w:sz w:val="16"/>
                <w:szCs w:val="16"/>
                <w:color w:val="auto"/>
              </w:rPr>
            </w:pPr>
          </w:p>
        </w:tc>
        <w:tc>
          <w:tcPr>
            <w:tcW w:w="1720" w:type="dxa"/>
            <w:vAlign w:val="bottom"/>
            <w:tcBorders>
              <w:bottom w:val="single" w:sz="8" w:color="52A69B"/>
            </w:tcBorders>
          </w:tcPr>
          <w:p>
            <w:pPr>
              <w:jc w:val="center"/>
              <w:spacing w:after="0"/>
              <w:rPr>
                <w:sz w:val="20"/>
                <w:szCs w:val="20"/>
                <w:color w:val="auto"/>
              </w:rPr>
            </w:pPr>
            <w:r>
              <w:rPr>
                <w:rFonts w:ascii="Times New Roman" w:cs="Times New Roman" w:eastAsia="Times New Roman" w:hAnsi="Times New Roman"/>
                <w:sz w:val="14"/>
                <w:szCs w:val="14"/>
                <w:b w:val="1"/>
                <w:bCs w:val="1"/>
                <w:color w:val="5B66E5"/>
              </w:rPr>
              <w:t>BROKER NON-VOTES</w:t>
            </w:r>
          </w:p>
        </w:tc>
        <w:tc>
          <w:tcPr>
            <w:tcW w:w="160" w:type="dxa"/>
            <w:vAlign w:val="bottom"/>
          </w:tcPr>
          <w:p>
            <w:pPr>
              <w:spacing w:after="0"/>
              <w:rPr>
                <w:sz w:val="16"/>
                <w:szCs w:val="16"/>
                <w:color w:val="auto"/>
              </w:rPr>
            </w:pPr>
          </w:p>
        </w:tc>
        <w:tc>
          <w:tcPr>
            <w:tcW w:w="1240" w:type="dxa"/>
            <w:vAlign w:val="bottom"/>
            <w:tcBorders>
              <w:bottom w:val="single" w:sz="8" w:color="52A69B"/>
            </w:tcBorders>
          </w:tcPr>
          <w:p>
            <w:pPr>
              <w:jc w:val="center"/>
              <w:spacing w:after="0"/>
              <w:rPr>
                <w:sz w:val="20"/>
                <w:szCs w:val="20"/>
                <w:color w:val="auto"/>
              </w:rPr>
            </w:pPr>
            <w:r>
              <w:rPr>
                <w:rFonts w:ascii="Times New Roman" w:cs="Times New Roman" w:eastAsia="Times New Roman" w:hAnsi="Times New Roman"/>
                <w:sz w:val="14"/>
                <w:szCs w:val="14"/>
                <w:b w:val="1"/>
                <w:bCs w:val="1"/>
                <w:color w:val="5B66E5"/>
                <w:w w:val="98"/>
              </w:rPr>
              <w:t>VOTING</w:t>
            </w:r>
          </w:p>
        </w:tc>
        <w:tc>
          <w:tcPr>
            <w:tcW w:w="0" w:type="dxa"/>
            <w:vAlign w:val="bottom"/>
          </w:tcPr>
          <w:p>
            <w:pPr>
              <w:spacing w:after="0"/>
              <w:rPr>
                <w:sz w:val="1"/>
                <w:szCs w:val="1"/>
                <w:color w:val="auto"/>
              </w:rPr>
            </w:pPr>
          </w:p>
        </w:tc>
      </w:tr>
      <w:tr>
        <w:trPr>
          <w:trHeight w:val="21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52A69B"/>
              </w:rPr>
              <w:t>PROPOSAL 1</w:t>
            </w:r>
            <w:r>
              <w:rPr>
                <w:rFonts w:ascii="Times New Roman" w:cs="Times New Roman" w:eastAsia="Times New Roman" w:hAnsi="Times New Roman"/>
                <w:sz w:val="18"/>
                <w:szCs w:val="18"/>
                <w:color w:val="52A69B"/>
              </w:rPr>
              <w:t>: Election of Class III</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Votes withheld and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Plurality of the</w:t>
            </w:r>
          </w:p>
        </w:tc>
        <w:tc>
          <w:tcPr>
            <w:tcW w:w="18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rPr>
              <w:t>broker non-votes will</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52A69B"/>
              </w:rPr>
              <w:t>Directors for a Three-Year Term Expiring</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continue"/>
          </w:tcPr>
          <w:p>
            <w:pPr>
              <w:spacing w:after="0"/>
              <w:rPr>
                <w:sz w:val="9"/>
                <w:szCs w:val="9"/>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have no effect on the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180"/>
        </w:trPr>
        <w:tc>
          <w:tcPr>
            <w:tcW w:w="33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2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rPr>
              <w:t>votes properly cast</w:t>
            </w:r>
          </w:p>
        </w:tc>
        <w:tc>
          <w:tcPr>
            <w:tcW w:w="188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3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52A69B"/>
              </w:rPr>
              <w:t>in 2029</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8"/>
                <w:szCs w:val="18"/>
                <w:color w:val="auto"/>
              </w:rPr>
              <w:t>outcome of the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proposal</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52A69B"/>
              </w:rPr>
              <w:t>PROPOSAL 2</w:t>
            </w:r>
            <w:r>
              <w:rPr>
                <w:rFonts w:ascii="Times New Roman" w:cs="Times New Roman" w:eastAsia="Times New Roman" w:hAnsi="Times New Roman"/>
                <w:sz w:val="18"/>
                <w:szCs w:val="18"/>
                <w:color w:val="52A69B"/>
              </w:rPr>
              <w:t>: Ratification of</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Abstentions and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broker non-votes will</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52A69B"/>
              </w:rPr>
              <w:t>Appointment of KPMG as our</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Majority of the</w:t>
            </w:r>
          </w:p>
        </w:tc>
        <w:tc>
          <w:tcPr>
            <w:tcW w:w="18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3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rPr>
              <w:t>have no effect on the</w:t>
            </w:r>
          </w:p>
        </w:tc>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52A69B"/>
              </w:rPr>
              <w:t>Independent Registered Public Accounting</w:t>
            </w:r>
          </w:p>
        </w:tc>
        <w:tc>
          <w:tcPr>
            <w:tcW w:w="140" w:type="dxa"/>
            <w:vAlign w:val="bottom"/>
          </w:tcPr>
          <w:p>
            <w:pPr>
              <w:spacing w:after="0"/>
              <w:rPr>
                <w:sz w:val="12"/>
                <w:szCs w:val="12"/>
                <w:color w:val="auto"/>
              </w:rPr>
            </w:pPr>
          </w:p>
        </w:tc>
        <w:tc>
          <w:tcPr>
            <w:tcW w:w="16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6"/>
                <w:szCs w:val="16"/>
                <w:color w:val="auto"/>
              </w:rPr>
              <w:t>votes properly cast</w:t>
            </w:r>
          </w:p>
        </w:tc>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outcome of the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52A69B"/>
              </w:rPr>
              <w:t>Firm for 2026</w:t>
            </w: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proposal</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must have a quorum to conduct business at the Annual Meeting. A quorum consists of the presence at the Annual Meeting, either attending the meeting virtually or represented by proxy, of the holders of shares of capital stock entitled to vote representing a majority of the voting power of all outstanding shares of capital stock entitled to vote. Holders of Series B common stock are not entitled to vote on any matters that will come before the Annual Meeting and therefore will not be considered for the purpose of determining the presence or absence of a quorum. For the purpose of establishing a quorum, votes withheld, abstentions, including brokers holding customers’ shares of record who cause abstentions to be recorded at the meeting, and broker non-votes count toward the quorum. If there is no quorum, the holders of shares of capital stock entitled to vote representing a majority of the voting power virtually attending the Annual Meeting or represented by proxy or the presiding officer of the meeting may adjourn the Annual Meeting to another date.</w:t>
      </w: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Board consists of eight directors divided into three classes, with each class holding office for a three-year term. Each of Jennifer Jarrett, Anne Phillips, M.D., David Happel and George Kemble, Ph.D., current Class III directors, have been nominated by our Board for election at the Annual Meeting for a three-year term that will expire at the 2029 Annual Meeting and until their successors, if any, are elected or appointed, or their earlier death, resignation, retirement, disqualification or removal. Each of the nominees has agreed to be named and to serve, and we expect each nominee to be able to serve if elected. If any nominee is unable to serve, the nominating and corporate governance committee of the Board, or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1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The number of members of our Board is currently set at eight members. The term of office of our</w:t>
      </w:r>
    </w:p>
    <w:p>
      <w:pPr>
        <w:spacing w:after="0" w:line="16"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Class III directors, Jennifer Jarrett, Anne Phillips, M.D., David Happel and George Kemble, Ph.D., expires at the Annual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STRUCTURE AND COMPOSITION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which currently consists of eight members. The primary responsibilities of our Board are to provide oversight, strategic guidance, counseling and direction to our management. Our Board meets on a regular basis and additionally as required. Our Eleventh Amended and Restated Certificate of Incorporation, or Charter, and Second Amended and Restated Bylaws, or Bylaws, permit our Board to establish the authorized number of directors from time to time by resolution. Each director serves until the expiration of the term for which such director was elected or appointed, or until such director’s earlier death, resignation or removal. In accordance with our Charter, our Board is divided into three classes with staggered three- 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289" w:lineRule="exact"/>
        <w:rPr>
          <w:sz w:val="20"/>
          <w:szCs w:val="20"/>
          <w:color w:val="auto"/>
        </w:rPr>
      </w:pPr>
    </w:p>
    <w:p>
      <w:pPr>
        <w:ind w:left="1800" w:right="7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Timothy P. Walbert and Paul Hoelscher and their terms will expire at the annual meeting of stockholders to be held in 2027;</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Elizabeth Grammer, Esq. and Beth Seidenberg, M.D. and their terms will expire at the annual meeting of stockholders to be held in 2028; and</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Jennifer Jarrett, Anne Phillips, M.D., David Happel and George Kemble, Ph.D. and their terms will expire at the Annual Meeting.</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Dr. Seidenberg and Dr. Kemble were initially elected to our Board pursuant to the Amended and Restated Voting Agreement we entered into in December 2020 with certain investors which terminated upon the closing of our initial public offering, or IPO.</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FOR BOARD MEMBERSHIP</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has identified certain criteria that it considers in identifying director nominees. Important general criteria and considerations for Board membership include:</w:t>
      </w:r>
    </w:p>
    <w:p>
      <w:pPr>
        <w:spacing w:after="0" w:line="39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GENERAL CRITERIA</w:t>
      </w:r>
    </w:p>
    <w:p>
      <w:pPr>
        <w:spacing w:after="0" w:line="148" w:lineRule="exact"/>
        <w:rPr>
          <w:sz w:val="20"/>
          <w:szCs w:val="20"/>
          <w:color w:val="auto"/>
        </w:rPr>
      </w:pPr>
    </w:p>
    <w:p>
      <w:pPr>
        <w:ind w:left="1980" w:hanging="360"/>
        <w:spacing w:after="0"/>
        <w:tabs>
          <w:tab w:leader="none" w:pos="19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Relevant experience and expertise</w:t>
      </w:r>
    </w:p>
    <w:p>
      <w:pPr>
        <w:spacing w:after="0" w:line="157" w:lineRule="exact"/>
        <w:rPr>
          <w:rFonts w:ascii="MS PGothic" w:cs="MS PGothic" w:eastAsia="MS PGothic" w:hAnsi="MS PGothic"/>
          <w:sz w:val="18"/>
          <w:szCs w:val="18"/>
          <w:color w:val="auto"/>
        </w:rPr>
      </w:pPr>
    </w:p>
    <w:p>
      <w:pPr>
        <w:ind w:left="1980" w:hanging="360"/>
        <w:spacing w:after="0"/>
        <w:tabs>
          <w:tab w:leader="none" w:pos="19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Proven achievement and competence in such individual’s field</w:t>
      </w:r>
    </w:p>
    <w:p>
      <w:pPr>
        <w:spacing w:after="0" w:line="144" w:lineRule="exact"/>
        <w:rPr>
          <w:rFonts w:ascii="MS PGothic" w:cs="MS PGothic" w:eastAsia="MS PGothic" w:hAnsi="MS PGothic"/>
          <w:sz w:val="18"/>
          <w:szCs w:val="18"/>
          <w:color w:val="auto"/>
        </w:rPr>
      </w:pPr>
    </w:p>
    <w:p>
      <w:pPr>
        <w:ind w:left="1980" w:hanging="360"/>
        <w:spacing w:after="0"/>
        <w:tabs>
          <w:tab w:leader="none" w:pos="19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Sound business judgment</w:t>
      </w:r>
    </w:p>
    <w:p>
      <w:pPr>
        <w:spacing w:after="0" w:line="144" w:lineRule="exact"/>
        <w:rPr>
          <w:rFonts w:ascii="MS PGothic" w:cs="MS PGothic" w:eastAsia="MS PGothic" w:hAnsi="MS PGothic"/>
          <w:sz w:val="18"/>
          <w:szCs w:val="18"/>
          <w:color w:val="auto"/>
        </w:rPr>
      </w:pPr>
    </w:p>
    <w:p>
      <w:pPr>
        <w:ind w:left="1980" w:hanging="360"/>
        <w:spacing w:after="0"/>
        <w:tabs>
          <w:tab w:leader="none" w:pos="19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understanding of the fiduciary responsibilities required of a director</w:t>
      </w:r>
    </w:p>
    <w:p>
      <w:pPr>
        <w:spacing w:after="0" w:line="157" w:lineRule="exact"/>
        <w:rPr>
          <w:rFonts w:ascii="MS PGothic" w:cs="MS PGothic" w:eastAsia="MS PGothic" w:hAnsi="MS PGothic"/>
          <w:sz w:val="18"/>
          <w:szCs w:val="18"/>
          <w:color w:val="auto"/>
        </w:rPr>
      </w:pPr>
    </w:p>
    <w:p>
      <w:pPr>
        <w:ind w:left="1980" w:hanging="360"/>
        <w:spacing w:after="0"/>
        <w:tabs>
          <w:tab w:leader="none" w:pos="19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Willingness and ability to devote sufficient time to Board responsibilities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Commitment to devoting time and energy to our affairs</w:t>
      </w:r>
    </w:p>
    <w:p>
      <w:pPr>
        <w:spacing w:after="0" w:line="157" w:lineRule="exact"/>
        <w:rPr>
          <w:rFonts w:ascii="MS PGothic" w:cs="MS PGothic" w:eastAsia="MS PGothic" w:hAnsi="MS PGothic"/>
          <w:sz w:val="18"/>
          <w:szCs w:val="18"/>
          <w:color w:val="auto"/>
        </w:rPr>
      </w:pPr>
    </w:p>
    <w:p>
      <w:pPr>
        <w:ind w:left="1980" w:hanging="360"/>
        <w:spacing w:after="0"/>
        <w:tabs>
          <w:tab w:leader="none" w:pos="1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Diverse personal background, perspective and experience</w:t>
      </w:r>
    </w:p>
    <w:p>
      <w:pPr>
        <w:spacing w:after="0" w:line="158"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SELECTION OF CANDIDATES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Skill Set Considerations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a wide range of factors including each director or candidate’s skill sets, other boards of directors on which he or she serves, other positions he or she holds, and the independence of each director and candidate, to ensure that a substantial majority of the Board is independent.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Director Candidates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in this Proxy Statement.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Board’s nominees.</w:t>
      </w:r>
    </w:p>
    <w:p>
      <w:pPr>
        <w:spacing w:after="0" w:line="200" w:lineRule="exact"/>
        <w:rPr>
          <w:sz w:val="20"/>
          <w:szCs w:val="20"/>
          <w:color w:val="auto"/>
        </w:rPr>
      </w:pPr>
    </w:p>
    <w:p>
      <w:pPr>
        <w:spacing w:after="0" w:line="206" w:lineRule="exact"/>
        <w:rPr>
          <w:sz w:val="20"/>
          <w:szCs w:val="20"/>
          <w:color w:val="auto"/>
        </w:rPr>
      </w:pPr>
    </w:p>
    <w:p>
      <w:pPr>
        <w:ind w:left="1260" w:right="1559"/>
        <w:spacing w:after="0" w:line="271" w:lineRule="auto"/>
        <w:rPr>
          <w:sz w:val="20"/>
          <w:szCs w:val="20"/>
          <w:color w:val="auto"/>
        </w:rPr>
      </w:pPr>
      <w:r>
        <w:rPr>
          <w:rFonts w:ascii="Times New Roman" w:cs="Times New Roman" w:eastAsia="Times New Roman" w:hAnsi="Times New Roman"/>
          <w:sz w:val="18"/>
          <w:szCs w:val="18"/>
          <w:b w:val="1"/>
          <w:bCs w:val="1"/>
          <w:color w:val="auto"/>
        </w:rPr>
        <w:t>BOARD OVERSIGHT OF COMPANY CULTURE AND ENVIRONMENTAL, SOCIAL AND GOVERNANCE HIGHLIGHTS</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Board is committed to fostering a strong culture of compliance and ethical conduct and has structured its committees and their activities to support its commitment. Our Board supports management in ensuring that our culture and strategy are aligned and in promoting a corporate culture of integrity, ethical behavior and compliance with laws and regulations .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p>
    <w:p>
      <w:pPr>
        <w:spacing w:after="0" w:line="119"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our current ESG policies and practices:</w:t>
      </w:r>
    </w:p>
    <w:p>
      <w:pPr>
        <w:spacing w:after="0" w:line="113"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Committees:  </w:t>
      </w:r>
      <w:r>
        <w:rPr>
          <w:rFonts w:ascii="Times New Roman" w:cs="Times New Roman" w:eastAsia="Times New Roman" w:hAnsi="Times New Roman"/>
          <w:sz w:val="18"/>
          <w:szCs w:val="18"/>
          <w:color w:val="auto"/>
        </w:rPr>
        <w:t>Each of our Board committees consists entirely of independent directors.</w:t>
      </w:r>
    </w:p>
    <w:p>
      <w:pPr>
        <w:spacing w:after="0" w:line="117" w:lineRule="exact"/>
        <w:rPr>
          <w:rFonts w:ascii="Times New Roman" w:cs="Times New Roman" w:eastAsia="Times New Roman" w:hAnsi="Times New Roman"/>
          <w:sz w:val="18"/>
          <w:szCs w:val="18"/>
          <w:color w:val="auto"/>
        </w:rPr>
      </w:pPr>
    </w:p>
    <w:p>
      <w:pPr>
        <w:jc w:val="both"/>
        <w:ind w:left="1800" w:right="959" w:hanging="180"/>
        <w:spacing w:after="0" w:line="268"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Regularly Held Executive Sessions: </w:t>
      </w:r>
      <w:r>
        <w:rPr>
          <w:rFonts w:ascii="Times New Roman" w:cs="Times New Roman" w:eastAsia="Times New Roman" w:hAnsi="Times New Roman"/>
          <w:sz w:val="18"/>
          <w:szCs w:val="18"/>
          <w:color w:val="auto"/>
        </w:rPr>
        <w:t>The independent directors of our Board meet separately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session on a regular basis to discuss matters relating to the Company and the Board, without members of the management team present.</w:t>
      </w: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539" w:hanging="180"/>
        <w:spacing w:after="0" w:line="268"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of Conduct: </w:t>
      </w:r>
      <w:r>
        <w:rPr>
          <w:rFonts w:ascii="Times New Roman" w:cs="Times New Roman" w:eastAsia="Times New Roman" w:hAnsi="Times New Roman"/>
          <w:sz w:val="18"/>
          <w:szCs w:val="18"/>
          <w:color w:val="auto"/>
        </w:rPr>
        <w:t>All of our directors, officers and employees are subject to the Code of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available on the “Investors &amp; Media” — “Corporate Governance” section of our website at www.sagimet.com.</w:t>
      </w:r>
    </w:p>
    <w:p>
      <w:pPr>
        <w:spacing w:after="0" w:line="89" w:lineRule="exact"/>
        <w:rPr>
          <w:rFonts w:ascii="Times New Roman" w:cs="Times New Roman" w:eastAsia="Times New Roman" w:hAnsi="Times New Roman"/>
          <w:sz w:val="18"/>
          <w:szCs w:val="18"/>
          <w:color w:val="auto"/>
        </w:rPr>
      </w:pPr>
    </w:p>
    <w:p>
      <w:pPr>
        <w:ind w:left="1800" w:right="639" w:hanging="180"/>
        <w:spacing w:after="0" w:line="268"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Capital Management: </w:t>
      </w:r>
      <w:r>
        <w:rPr>
          <w:rFonts w:ascii="Times New Roman" w:cs="Times New Roman" w:eastAsia="Times New Roman" w:hAnsi="Times New Roman"/>
          <w:sz w:val="18"/>
          <w:szCs w:val="18"/>
          <w:color w:val="auto"/>
        </w:rPr>
        <w:t>We are committed to the health and welfare of our employees.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the development of our employees with a competitive compensation and benefits package, internal advancement, and individualized development opportunities.</w:t>
      </w:r>
    </w:p>
    <w:p>
      <w:pPr>
        <w:spacing w:after="0" w:line="89" w:lineRule="exact"/>
        <w:rPr>
          <w:rFonts w:ascii="Times New Roman" w:cs="Times New Roman" w:eastAsia="Times New Roman" w:hAnsi="Times New Roman"/>
          <w:sz w:val="18"/>
          <w:szCs w:val="18"/>
          <w:color w:val="auto"/>
        </w:rPr>
      </w:pPr>
    </w:p>
    <w:p>
      <w:pPr>
        <w:ind w:left="1800" w:right="579" w:hanging="180"/>
        <w:spacing w:after="0" w:line="268"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Diversity and Inclusion</w:t>
      </w:r>
      <w:r>
        <w:rPr>
          <w:rFonts w:ascii="Times New Roman" w:cs="Times New Roman" w:eastAsia="Times New Roman" w:hAnsi="Times New Roman"/>
          <w:sz w:val="18"/>
          <w:szCs w:val="18"/>
          <w:color w:val="auto"/>
        </w:rPr>
        <w:t>: We strive to create a workplace culture that supports a diverse, multi-cultural workforce, treats individuals fairly, and provides an inclusive environment where everyone can bring their whole self to work and feel supported in reaching their full potential.</w:t>
      </w:r>
    </w:p>
    <w:p>
      <w:pPr>
        <w:spacing w:after="0" w:line="94" w:lineRule="exact"/>
        <w:rPr>
          <w:sz w:val="20"/>
          <w:szCs w:val="20"/>
          <w:color w:val="auto"/>
        </w:rPr>
      </w:pPr>
    </w:p>
    <w:p>
      <w:pPr>
        <w:jc w:val="both"/>
        <w:ind w:left="1260" w:right="899" w:firstLine="360"/>
        <w:spacing w:after="0" w:line="274" w:lineRule="auto"/>
        <w:rPr>
          <w:sz w:val="20"/>
          <w:szCs w:val="20"/>
          <w:color w:val="auto"/>
        </w:rPr>
      </w:pPr>
      <w:r>
        <w:rPr>
          <w:rFonts w:ascii="Times New Roman" w:cs="Times New Roman" w:eastAsia="Times New Roman" w:hAnsi="Times New Roman"/>
          <w:sz w:val="18"/>
          <w:szCs w:val="18"/>
          <w:color w:val="auto"/>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25" w:lineRule="exact"/>
        <w:rPr>
          <w:sz w:val="20"/>
          <w:szCs w:val="20"/>
          <w:color w:val="auto"/>
        </w:rPr>
      </w:pPr>
    </w:p>
    <w:p>
      <w:pPr>
        <w:ind w:left="1260" w:right="63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CLASS III DIRECTORS — PRESENT TERMS EXPIRING AT THE ANNUAL MEETING AND PROPOSED TERMS TO EXPIRE IN 2029</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372"/>
        </w:trPr>
        <w:tc>
          <w:tcPr>
            <w:tcW w:w="2340" w:type="dxa"/>
            <w:vAlign w:val="bottom"/>
            <w:tcBorders>
              <w:bottom w:val="single" w:sz="8" w:color="5B66E5"/>
            </w:tcBorders>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JENNIFER JARRETT</w:t>
            </w:r>
          </w:p>
        </w:tc>
        <w:tc>
          <w:tcPr>
            <w:tcW w:w="3060" w:type="dxa"/>
            <w:vAlign w:val="bottom"/>
            <w:tcBorders>
              <w:bottom w:val="single" w:sz="8" w:color="5B66E5"/>
            </w:tcBorders>
            <w:shd w:val="clear" w:color="auto" w:fill="5B66E5"/>
          </w:tcPr>
          <w:p>
            <w:pPr>
              <w:spacing w:after="0"/>
              <w:rPr>
                <w:sz w:val="24"/>
                <w:szCs w:val="24"/>
                <w:color w:val="auto"/>
              </w:rPr>
            </w:pPr>
          </w:p>
        </w:tc>
        <w:tc>
          <w:tcPr>
            <w:tcW w:w="2800" w:type="dxa"/>
            <w:vAlign w:val="bottom"/>
            <w:tcBorders>
              <w:bottom w:val="single" w:sz="8" w:color="5B66E5"/>
            </w:tcBorders>
            <w:shd w:val="clear" w:color="auto" w:fill="5B66E5"/>
          </w:tcPr>
          <w:p>
            <w:pPr>
              <w:spacing w:after="0"/>
              <w:rPr>
                <w:sz w:val="24"/>
                <w:szCs w:val="24"/>
                <w:color w:val="auto"/>
              </w:rPr>
            </w:pPr>
          </w:p>
        </w:tc>
      </w:tr>
      <w:tr>
        <w:trPr>
          <w:trHeight w:val="302"/>
        </w:trPr>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55</w:t>
            </w:r>
          </w:p>
        </w:tc>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 Audit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20"/>
        </w:trPr>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2024</w:t>
            </w:r>
          </w:p>
        </w:tc>
        <w:tc>
          <w:tcPr>
            <w:tcW w:w="3060" w:type="dxa"/>
            <w:vAlign w:val="bottom"/>
          </w:tcPr>
          <w:p>
            <w:pPr>
              <w:spacing w:after="0"/>
              <w:rPr>
                <w:sz w:val="19"/>
                <w:szCs w:val="19"/>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234"/>
        </w:trPr>
        <w:tc>
          <w:tcPr>
            <w:tcW w:w="2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Zura Bio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53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Jennifer Jarrett </w:t>
      </w:r>
      <w:r>
        <w:rPr>
          <w:rFonts w:ascii="Times New Roman" w:cs="Times New Roman" w:eastAsia="Times New Roman" w:hAnsi="Times New Roman"/>
          <w:sz w:val="18"/>
          <w:szCs w:val="18"/>
          <w:color w:val="auto"/>
        </w:rPr>
        <w:t>has served as a member of our Board since August 2024. Ms. Jarrett currently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Chief Executive Officer and board director at Damora Therapeutics (Nasdaq: DMRA). From 2021 until March 2026, she served as Chief Operating Officer of Arcus Biosciences, Inc., or Arcus, a clinical-stage, global biopharmaceutical company, and previously served on the board of directors of Arcus from January 2019 until January 2024. Prior to joining Arcus as Chief Operating Officer,</w:t>
      </w:r>
    </w:p>
    <w:p>
      <w:pPr>
        <w:spacing w:after="0" w:line="3" w:lineRule="exact"/>
        <w:rPr>
          <w:sz w:val="20"/>
          <w:szCs w:val="20"/>
          <w:color w:val="auto"/>
        </w:rPr>
      </w:pPr>
    </w:p>
    <w:p>
      <w:pPr>
        <w:ind w:left="1360" w:right="619"/>
        <w:spacing w:after="0" w:line="250" w:lineRule="auto"/>
        <w:rPr>
          <w:sz w:val="20"/>
          <w:szCs w:val="20"/>
          <w:color w:val="auto"/>
        </w:rPr>
      </w:pPr>
      <w:r>
        <w:rPr>
          <w:rFonts w:ascii="Times New Roman" w:cs="Times New Roman" w:eastAsia="Times New Roman" w:hAnsi="Times New Roman"/>
          <w:sz w:val="18"/>
          <w:szCs w:val="18"/>
          <w:color w:val="auto"/>
        </w:rPr>
        <w:t>Ms. Jarrett served as Vice President, Corporate Development and Capital Markets at Uber, Inc., a technology company providing a platform for mobility, delivery and freight services, from January 2019 to 2021 and prior to that, served as Arcus’ Chief Operating and Financial Officer from March 2017 to January 2019. From April 2016 to October 2016, Ms. Jarrett was the Chief Financial Officer of Medivation, Inc., a biopharmaceutical company, which was acquired by Pfizer Inc. Prior to that,</w:t>
      </w:r>
    </w:p>
    <w:p>
      <w:pPr>
        <w:spacing w:after="0" w:line="2" w:lineRule="exact"/>
        <w:rPr>
          <w:sz w:val="20"/>
          <w:szCs w:val="20"/>
          <w:color w:val="auto"/>
        </w:rPr>
      </w:pPr>
    </w:p>
    <w:p>
      <w:pPr>
        <w:ind w:left="1360" w:right="679"/>
        <w:spacing w:after="0" w:line="251" w:lineRule="auto"/>
        <w:rPr>
          <w:sz w:val="20"/>
          <w:szCs w:val="20"/>
          <w:color w:val="auto"/>
        </w:rPr>
      </w:pPr>
      <w:r>
        <w:rPr>
          <w:rFonts w:ascii="Times New Roman" w:cs="Times New Roman" w:eastAsia="Times New Roman" w:hAnsi="Times New Roman"/>
          <w:sz w:val="18"/>
          <w:szCs w:val="18"/>
          <w:color w:val="auto"/>
        </w:rPr>
        <w:t>Ms. Jarrett spent 20 years in investment banking, most recently as Managing Director at Citigroup from July 2010 to March 2016, where she was responsible for managing their west coast life sciences investment banking practice. Ms. Jarrett currently serves on the board of directors of Damora Therapeutics, Zura Bio Ltd (Nasdaq: ZURA), Syndax Pharmaceuticals, Inc. (Nasdaq: SNDX), and LifeMine Therapeutics, Inc. Ms. Jarrett previously served on the boards of directors of Arena Pharmaceuticals, Inc. from July 2017 until its acquisition by Pfizer in March 2022, Audentes Therapeutics from July 2017 until its acquisition by Astellas Pharma Inc. in January 2020, Radius Health, Inc. from May 2022 until its acquisition by Gurnet Point Capital and Patient Square Capital in August 2022, and Consonance-HFW Acquisition Corp. from December 2020 until its business combination with Surrozen Operating, Inc. in August 2021. Ms. Jarrett holds a B.A. in Economics, cum laude, from Dartmouth College and an M.B.A. from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151130</wp:posOffset>
            </wp:positionV>
            <wp:extent cx="5212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90" w:lineRule="exact"/>
        <w:rPr>
          <w:sz w:val="20"/>
          <w:szCs w:val="20"/>
          <w:color w:val="auto"/>
        </w:rPr>
      </w:pPr>
    </w:p>
    <w:p>
      <w:pPr>
        <w:ind w:left="1360" w:right="1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Ms. Jarrett is qualified to serve on our Board due to 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financial, business and strategic experience in the life sciences sector.</w:t>
      </w: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2380" w:type="dxa"/>
            <w:vAlign w:val="bottom"/>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ANNE PHILLIPS, M.D.</w:t>
            </w:r>
          </w:p>
        </w:tc>
        <w:tc>
          <w:tcPr>
            <w:tcW w:w="2860" w:type="dxa"/>
            <w:vAlign w:val="bottom"/>
            <w:shd w:val="clear" w:color="auto" w:fill="5B66E5"/>
          </w:tcPr>
          <w:p>
            <w:pPr>
              <w:spacing w:after="0"/>
              <w:rPr>
                <w:sz w:val="24"/>
                <w:szCs w:val="24"/>
                <w:color w:val="auto"/>
              </w:rPr>
            </w:pPr>
          </w:p>
        </w:tc>
        <w:tc>
          <w:tcPr>
            <w:tcW w:w="2960" w:type="dxa"/>
            <w:vAlign w:val="bottom"/>
            <w:shd w:val="clear" w:color="auto" w:fill="5B66E5"/>
          </w:tcPr>
          <w:p>
            <w:pPr>
              <w:spacing w:after="0"/>
              <w:rPr>
                <w:sz w:val="24"/>
                <w:szCs w:val="24"/>
                <w:color w:val="auto"/>
              </w:rPr>
            </w:pPr>
          </w:p>
        </w:tc>
      </w:tr>
      <w:tr>
        <w:trPr>
          <w:trHeight w:val="67"/>
        </w:trPr>
        <w:tc>
          <w:tcPr>
            <w:tcW w:w="2380" w:type="dxa"/>
            <w:vAlign w:val="bottom"/>
            <w:shd w:val="clear" w:color="auto" w:fill="5B66E5"/>
          </w:tcPr>
          <w:p>
            <w:pPr>
              <w:spacing w:after="0"/>
              <w:rPr>
                <w:sz w:val="5"/>
                <w:szCs w:val="5"/>
                <w:color w:val="auto"/>
              </w:rPr>
            </w:pPr>
          </w:p>
        </w:tc>
        <w:tc>
          <w:tcPr>
            <w:tcW w:w="2860" w:type="dxa"/>
            <w:vAlign w:val="bottom"/>
            <w:shd w:val="clear" w:color="auto" w:fill="5B66E5"/>
          </w:tcPr>
          <w:p>
            <w:pPr>
              <w:spacing w:after="0"/>
              <w:rPr>
                <w:sz w:val="5"/>
                <w:szCs w:val="5"/>
                <w:color w:val="auto"/>
              </w:rPr>
            </w:pPr>
          </w:p>
        </w:tc>
        <w:tc>
          <w:tcPr>
            <w:tcW w:w="2960" w:type="dxa"/>
            <w:vAlign w:val="bottom"/>
            <w:shd w:val="clear" w:color="auto" w:fill="5B66E5"/>
          </w:tcPr>
          <w:p>
            <w:pPr>
              <w:spacing w:after="0"/>
              <w:rPr>
                <w:sz w:val="5"/>
                <w:szCs w:val="5"/>
                <w:color w:val="auto"/>
              </w:rPr>
            </w:pPr>
          </w:p>
        </w:tc>
      </w:tr>
      <w:tr>
        <w:trPr>
          <w:trHeight w:val="315"/>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72</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2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20"/>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2024</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Nominating and Corporate</w:t>
            </w:r>
          </w:p>
        </w:tc>
        <w:tc>
          <w:tcPr>
            <w:tcW w:w="2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Barinthus Biotherapeutics plc,</w:t>
            </w:r>
          </w:p>
        </w:tc>
      </w:tr>
      <w:tr>
        <w:trPr>
          <w:trHeight w:val="234"/>
        </w:trPr>
        <w:tc>
          <w:tcPr>
            <w:tcW w:w="2380" w:type="dxa"/>
            <w:vAlign w:val="bottom"/>
          </w:tcPr>
          <w:p>
            <w:pPr>
              <w:spacing w:after="0"/>
              <w:rPr>
                <w:sz w:val="20"/>
                <w:szCs w:val="20"/>
                <w:color w:val="auto"/>
              </w:rPr>
            </w:pP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Governance, Compensation</w:t>
            </w:r>
          </w:p>
        </w:tc>
        <w:tc>
          <w:tcPr>
            <w:tcW w:w="2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vTv Therapeutics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57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Anne Phillips, M.D. </w:t>
      </w:r>
      <w:r>
        <w:rPr>
          <w:rFonts w:ascii="Times New Roman" w:cs="Times New Roman" w:eastAsia="Times New Roman" w:hAnsi="Times New Roman"/>
          <w:sz w:val="18"/>
          <w:szCs w:val="18"/>
          <w:color w:val="auto"/>
        </w:rPr>
        <w:t>has served as a member of our Board since August 2024. Dr. Phillips has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 years of pharmaceutical industry experience. Ms. Phillips joined our Board following a tenure at Novo Nordisk A/S, or Novo Nordisk, a global healthcare company, where she most recently served as a Senior Vice President of Clinical, Medical &amp; Regulatory Affairs, North America Operations, leading the drug development, clinical operations, medical, regulatory, health economics and outcomes research, and safety teams, from January 2011 to August 2022. Prior to joining Novo Nordisk, Dr. Phillips held positions of increasing seniority at GSK plc from 1998 to 2004, most recently as Vice President and Head of R&amp;D. Dr. Phillips currently serves on the board of directors of Barinthus Biotherapeutics plc (Nasdaq: BRNS), a clinical-stage biopharmaceutical company, a position she has held since</w:t>
      </w:r>
    </w:p>
    <w:p>
      <w:pPr>
        <w:spacing w:after="0" w:line="3" w:lineRule="exact"/>
        <w:rPr>
          <w:sz w:val="20"/>
          <w:szCs w:val="20"/>
          <w:color w:val="auto"/>
        </w:rPr>
      </w:pPr>
    </w:p>
    <w:p>
      <w:pPr>
        <w:ind w:left="1360" w:right="639"/>
        <w:spacing w:after="0" w:line="251" w:lineRule="auto"/>
        <w:rPr>
          <w:sz w:val="20"/>
          <w:szCs w:val="20"/>
          <w:color w:val="auto"/>
        </w:rPr>
      </w:pPr>
      <w:r>
        <w:rPr>
          <w:rFonts w:ascii="Times New Roman" w:cs="Times New Roman" w:eastAsia="Times New Roman" w:hAnsi="Times New Roman"/>
          <w:sz w:val="18"/>
          <w:szCs w:val="18"/>
          <w:color w:val="auto"/>
        </w:rPr>
        <w:t>February 2021, and most recently, vTv Therapeutics Inc. (Nasdaq: VTVT), a clinical-stage public biopharmaceutical company, whose board she joined in March 2024. Dr. Phillips previously served as a member of the board of directors of Trevena, Inc. (Nasdaq: TRVN), a biopharmaceutical company, from December 2014 to November 2024, Carmot Therapeutics Inc., a biopharmaceutical company, from September 2022 to December 2023, when it was acquired by F. Hoffmann-La Roche AG and AMAG Pharmaceuticals, Inc., a pharmaceutical company, from April 2019 to November 2020. Dr. Phillips received an Hon. B.Sc. in Zoology from the University of Western Ontario and an M.D. from the University of Toronto. She completed postgraduate training in Internal Medicine, Medical Microbiology and 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5212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91" w:lineRule="exact"/>
        <w:rPr>
          <w:sz w:val="20"/>
          <w:szCs w:val="20"/>
          <w:color w:val="auto"/>
        </w:rPr>
      </w:pPr>
    </w:p>
    <w:p>
      <w:pPr>
        <w:ind w:left="1360" w:right="1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Dr. Phillips is qualified to serve on our Board due to 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pharmaceutical industry experience.</w:t>
      </w:r>
    </w:p>
    <w:p>
      <w:pPr>
        <w:spacing w:after="0" w:line="191" w:lineRule="exact"/>
        <w:rPr>
          <w:sz w:val="20"/>
          <w:szCs w:val="20"/>
          <w:color w:val="auto"/>
        </w:rPr>
      </w:pPr>
    </w:p>
    <w:tbl>
      <w:tblPr>
        <w:tblLayout w:type="fixed"/>
        <w:tblInd w:w="1260" w:type="dxa"/>
        <w:tblCellMar>
          <w:top w:w="0" w:type="dxa"/>
          <w:left w:w="0" w:type="dxa"/>
          <w:bottom w:w="0" w:type="dxa"/>
          <w:right w:w="0" w:type="dxa"/>
        </w:tblCellMar>
      </w:tblPr>
      <w:tr>
        <w:trPr>
          <w:trHeight w:val="371"/>
        </w:trPr>
        <w:tc>
          <w:tcPr>
            <w:tcW w:w="2240" w:type="dxa"/>
            <w:vAlign w:val="bottom"/>
            <w:tcBorders>
              <w:bottom w:val="single" w:sz="8" w:color="5B66E5"/>
            </w:tcBorders>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DAVID HAPPEL</w:t>
            </w:r>
          </w:p>
        </w:tc>
        <w:tc>
          <w:tcPr>
            <w:tcW w:w="3140" w:type="dxa"/>
            <w:vAlign w:val="bottom"/>
            <w:tcBorders>
              <w:bottom w:val="single" w:sz="8" w:color="5B66E5"/>
            </w:tcBorders>
            <w:shd w:val="clear" w:color="auto" w:fill="5B66E5"/>
          </w:tcPr>
          <w:p>
            <w:pPr>
              <w:spacing w:after="0"/>
              <w:rPr>
                <w:sz w:val="24"/>
                <w:szCs w:val="24"/>
                <w:color w:val="auto"/>
              </w:rPr>
            </w:pPr>
          </w:p>
        </w:tc>
        <w:tc>
          <w:tcPr>
            <w:tcW w:w="2820" w:type="dxa"/>
            <w:vAlign w:val="bottom"/>
            <w:tcBorders>
              <w:bottom w:val="single" w:sz="8" w:color="5B66E5"/>
            </w:tcBorders>
            <w:shd w:val="clear" w:color="auto" w:fill="5B66E5"/>
          </w:tcPr>
          <w:p>
            <w:pPr>
              <w:spacing w:after="0"/>
              <w:rPr>
                <w:sz w:val="24"/>
                <w:szCs w:val="24"/>
                <w:color w:val="auto"/>
              </w:rPr>
            </w:pPr>
          </w:p>
        </w:tc>
      </w:tr>
      <w:tr>
        <w:trPr>
          <w:trHeight w:val="302"/>
        </w:trPr>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64</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 None</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 None</w:t>
            </w:r>
          </w:p>
        </w:tc>
      </w:tr>
      <w:tr>
        <w:trPr>
          <w:trHeight w:val="238"/>
        </w:trPr>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2022</w:t>
            </w:r>
          </w:p>
        </w:tc>
        <w:tc>
          <w:tcPr>
            <w:tcW w:w="314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42545</wp:posOffset>
            </wp:positionV>
            <wp:extent cx="5212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6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Happel </w:t>
      </w:r>
      <w:r>
        <w:rPr>
          <w:rFonts w:ascii="Times New Roman" w:cs="Times New Roman" w:eastAsia="Times New Roman" w:hAnsi="Times New Roman"/>
          <w:sz w:val="18"/>
          <w:szCs w:val="18"/>
          <w:color w:val="auto"/>
        </w:rPr>
        <w:t>has served as our Chief Executive Officer and a director since October 2022.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2020 through October 2022, he was President and Chief Executive Officer, and a director on the board of Cognoa, Inc., a pediatric behavioral health company developing AI-based technologies for developmental and behavioral health conditions, including the first FDA-authorized diagnostic aid, Canvas Dx, for autism. From February 2018 to March 2020, Mr. Happel was President, Chief Executive Officer and a director on the board of Chrono Therapeutics Inc. In addition, Mr. Happel has served as a director of Currax Pharmaceuticals LLC since 2020 and he previously held several executive and commercial positions at Horizon Therapeutics plc, or Horizon, Raptor Pharmaceutical Corp., Dynavax Technologies Corporation and Chiron Corporation. Mr. Happel also currently sits on the board of a privately held company. Mr. Happel has a B.A. in chemistry from Indiana University and an M.B.A. from Indiana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286385</wp:posOffset>
            </wp:positionV>
            <wp:extent cx="5212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3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Mr. Happel is qualified to serve on our Board due to the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he brings in his capacity as our President and Chief Executive Officer along with significant leadership experience in the life science industry.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2520" w:type="dxa"/>
            <w:vAlign w:val="bottom"/>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GEORGE KEMBLE, PH.D.</w:t>
            </w:r>
          </w:p>
        </w:tc>
        <w:tc>
          <w:tcPr>
            <w:tcW w:w="2860" w:type="dxa"/>
            <w:vAlign w:val="bottom"/>
            <w:shd w:val="clear" w:color="auto" w:fill="5B66E5"/>
          </w:tcPr>
          <w:p>
            <w:pPr>
              <w:spacing w:after="0"/>
              <w:rPr>
                <w:sz w:val="24"/>
                <w:szCs w:val="24"/>
                <w:color w:val="auto"/>
              </w:rPr>
            </w:pPr>
          </w:p>
        </w:tc>
        <w:tc>
          <w:tcPr>
            <w:tcW w:w="2820" w:type="dxa"/>
            <w:vAlign w:val="bottom"/>
            <w:shd w:val="clear" w:color="auto" w:fill="5B66E5"/>
          </w:tcPr>
          <w:p>
            <w:pPr>
              <w:spacing w:after="0"/>
              <w:rPr>
                <w:sz w:val="24"/>
                <w:szCs w:val="24"/>
                <w:color w:val="auto"/>
              </w:rPr>
            </w:pPr>
          </w:p>
        </w:tc>
      </w:tr>
      <w:tr>
        <w:trPr>
          <w:trHeight w:val="67"/>
        </w:trPr>
        <w:tc>
          <w:tcPr>
            <w:tcW w:w="2520" w:type="dxa"/>
            <w:vAlign w:val="bottom"/>
            <w:shd w:val="clear" w:color="auto" w:fill="5B66E5"/>
          </w:tcPr>
          <w:p>
            <w:pPr>
              <w:spacing w:after="0"/>
              <w:rPr>
                <w:sz w:val="5"/>
                <w:szCs w:val="5"/>
                <w:color w:val="auto"/>
              </w:rPr>
            </w:pPr>
          </w:p>
        </w:tc>
        <w:tc>
          <w:tcPr>
            <w:tcW w:w="2860" w:type="dxa"/>
            <w:vAlign w:val="bottom"/>
            <w:shd w:val="clear" w:color="auto" w:fill="5B66E5"/>
          </w:tcPr>
          <w:p>
            <w:pPr>
              <w:spacing w:after="0"/>
              <w:rPr>
                <w:sz w:val="5"/>
                <w:szCs w:val="5"/>
                <w:color w:val="auto"/>
              </w:rPr>
            </w:pPr>
          </w:p>
        </w:tc>
        <w:tc>
          <w:tcPr>
            <w:tcW w:w="2820" w:type="dxa"/>
            <w:vAlign w:val="bottom"/>
            <w:shd w:val="clear" w:color="auto" w:fill="5B66E5"/>
          </w:tcPr>
          <w:p>
            <w:pPr>
              <w:spacing w:after="0"/>
              <w:rPr>
                <w:sz w:val="5"/>
                <w:szCs w:val="5"/>
                <w:color w:val="auto"/>
              </w:rPr>
            </w:pPr>
          </w:p>
        </w:tc>
      </w:tr>
      <w:tr>
        <w:trPr>
          <w:trHeight w:val="315"/>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65</w:t>
            </w: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 None</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 None</w:t>
            </w:r>
          </w:p>
        </w:tc>
      </w:tr>
      <w:tr>
        <w:trPr>
          <w:trHeight w:val="238"/>
        </w:trPr>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2015</w:t>
            </w:r>
          </w:p>
        </w:tc>
        <w:tc>
          <w:tcPr>
            <w:tcW w:w="286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42545</wp:posOffset>
            </wp:positionV>
            <wp:extent cx="5212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6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George Kemble, Ph.D. </w:t>
      </w:r>
      <w:r>
        <w:rPr>
          <w:rFonts w:ascii="Times New Roman" w:cs="Times New Roman" w:eastAsia="Times New Roman" w:hAnsi="Times New Roman"/>
          <w:sz w:val="18"/>
          <w:szCs w:val="18"/>
          <w:color w:val="auto"/>
        </w:rPr>
        <w:t>has served as a director since October 2015 and as Chairman of the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2025. From October 2022 until May 2025 he served as our Executive Chairman of the Board. He previously served as our Chief Executive Officer from October 2015 through October 2022, in addition to serving as our Chief Scientific Officer from August 2011 through October 2022. From 2001 through 2011, he held various leadership positions at MedImmune LLC, a biologics company and subsidiary of AstraZeneca PLC, including Vice President of Research &amp; Development for Vaccines, Senior Vice President of Research for Biologics and General Manager of the California operations. Early in his career, from 1993 until 2001, he was a research scientist at Aviron Ltd. focusing on viral vaccine technologies. He received his B.S. in biology from Santa Clara University, a Ph.D. from Stanford University from the department of microbiology and immunology and held a postdoctoral research fellowship at University of California,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147320</wp:posOffset>
            </wp:positionV>
            <wp:extent cx="52120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84" w:lineRule="exact"/>
        <w:rPr>
          <w:sz w:val="20"/>
          <w:szCs w:val="20"/>
          <w:color w:val="auto"/>
        </w:rPr>
      </w:pPr>
    </w:p>
    <w:p>
      <w:pPr>
        <w:ind w:left="13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Dr. Kemble is qualified to serve on our Board due to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with scientific programs spanning stages from early research through licensure, combined with his leadership of organizations integrating both scientific and business disciplines.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EXPIRING AT THE 2027 ANNUAL MEETING OF STOCKHOLDERS</w:t>
      </w: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2440" w:type="dxa"/>
            <w:vAlign w:val="bottom"/>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TIMOTHY P. WALBERT</w:t>
            </w:r>
          </w:p>
        </w:tc>
        <w:tc>
          <w:tcPr>
            <w:tcW w:w="2720" w:type="dxa"/>
            <w:vAlign w:val="bottom"/>
            <w:shd w:val="clear" w:color="auto" w:fill="5B66E5"/>
          </w:tcPr>
          <w:p>
            <w:pPr>
              <w:spacing w:after="0"/>
              <w:rPr>
                <w:sz w:val="24"/>
                <w:szCs w:val="24"/>
                <w:color w:val="auto"/>
              </w:rPr>
            </w:pPr>
          </w:p>
        </w:tc>
        <w:tc>
          <w:tcPr>
            <w:tcW w:w="3040" w:type="dxa"/>
            <w:vAlign w:val="bottom"/>
            <w:shd w:val="clear" w:color="auto" w:fill="5B66E5"/>
          </w:tcPr>
          <w:p>
            <w:pPr>
              <w:spacing w:after="0"/>
              <w:rPr>
                <w:sz w:val="24"/>
                <w:szCs w:val="24"/>
                <w:color w:val="auto"/>
              </w:rPr>
            </w:pPr>
          </w:p>
        </w:tc>
      </w:tr>
      <w:tr>
        <w:trPr>
          <w:trHeight w:val="68"/>
        </w:trPr>
        <w:tc>
          <w:tcPr>
            <w:tcW w:w="2440" w:type="dxa"/>
            <w:vAlign w:val="bottom"/>
            <w:shd w:val="clear" w:color="auto" w:fill="5B66E5"/>
          </w:tcPr>
          <w:p>
            <w:pPr>
              <w:spacing w:after="0"/>
              <w:rPr>
                <w:sz w:val="5"/>
                <w:szCs w:val="5"/>
                <w:color w:val="auto"/>
              </w:rPr>
            </w:pPr>
          </w:p>
        </w:tc>
        <w:tc>
          <w:tcPr>
            <w:tcW w:w="2720" w:type="dxa"/>
            <w:vAlign w:val="bottom"/>
            <w:shd w:val="clear" w:color="auto" w:fill="5B66E5"/>
          </w:tcPr>
          <w:p>
            <w:pPr>
              <w:spacing w:after="0"/>
              <w:rPr>
                <w:sz w:val="5"/>
                <w:szCs w:val="5"/>
                <w:color w:val="auto"/>
              </w:rPr>
            </w:pPr>
          </w:p>
        </w:tc>
        <w:tc>
          <w:tcPr>
            <w:tcW w:w="3040" w:type="dxa"/>
            <w:vAlign w:val="bottom"/>
            <w:shd w:val="clear" w:color="auto" w:fill="5B66E5"/>
          </w:tcPr>
          <w:p>
            <w:pPr>
              <w:spacing w:after="0"/>
              <w:rPr>
                <w:sz w:val="5"/>
                <w:szCs w:val="5"/>
                <w:color w:val="auto"/>
              </w:rPr>
            </w:pPr>
          </w:p>
        </w:tc>
      </w:tr>
      <w:tr>
        <w:trPr>
          <w:trHeight w:val="315"/>
        </w:trPr>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59</w:t>
            </w:r>
          </w:p>
        </w:tc>
        <w:tc>
          <w:tcPr>
            <w:tcW w:w="27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20"/>
        </w:trPr>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2024</w:t>
            </w:r>
          </w:p>
        </w:tc>
        <w:tc>
          <w:tcPr>
            <w:tcW w:w="2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Audit, Compensation</w:t>
            </w:r>
          </w:p>
        </w:tc>
        <w:tc>
          <w:tcPr>
            <w:tcW w:w="3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Century Therapeutics, Inc.,</w:t>
            </w:r>
          </w:p>
        </w:tc>
      </w:tr>
      <w:tr>
        <w:trPr>
          <w:trHeight w:val="216"/>
        </w:trPr>
        <w:tc>
          <w:tcPr>
            <w:tcW w:w="2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Mirum Pharmaceuticals, Inc.,</w:t>
            </w:r>
          </w:p>
        </w:tc>
      </w:tr>
      <w:tr>
        <w:trPr>
          <w:trHeight w:val="234"/>
        </w:trPr>
        <w:tc>
          <w:tcPr>
            <w:tcW w:w="2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BioMarin Pharmaceuticals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55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Timothy P. Walbert </w:t>
      </w:r>
      <w:r>
        <w:rPr>
          <w:rFonts w:ascii="Times New Roman" w:cs="Times New Roman" w:eastAsia="Times New Roman" w:hAnsi="Times New Roman"/>
          <w:sz w:val="18"/>
          <w:szCs w:val="18"/>
          <w:color w:val="auto"/>
        </w:rPr>
        <w:t>has served as a member of our Board since April 2024. Mr. Walbert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advisor to Amgen Inc., or Amgen, since October 2023. Mr. Walbert was Chairman, President and Chief Executive Officer of Horizon, a public biotech company, from June 2008 to October 2023, when it was acquired by Amgen for $28 billion. Before joining Horizon, he was President, Chief Executive Officer and a director of IDM Pharma Inc., or IDM, a public biotechnology company, which was acquired by Takeda in June 2009. Before IDM, Mr. Walbert served as Executive Vice President, Commercial Operations at NeoPharm Inc., a public biotechnology company. From 2001 to 2005, he was Divisional Vice President and General Manager, Immunology, at Abbott Laboratories, now AbbVie Inc., leading the global development and launch of the multi-indication biologic HUMIRA, and served as divisional vice president, global cardiovascular strategy. From 1998 to 2001, Mr. Walbert served as Director, CELEBREX North America, and Arthritis Team Leader, Asia Pacific, Latin America and Canada, at G.D. Searle &amp; Company. From 1991 to 1998, he also held sales and marketing roles with increasing responsibility at G.D. Searle, Merck &amp; Co., Inc. and Wyeth. He currently serves on the boards of Mirum Pharmaceuticals, Inc. (Nasdaq: MIRM), BioMarin Pharmaceutical, Inc. (Nasdaq: BMRN) and Century Therapeutics, Inc. (Nasdaq: IPSC), each a public biotech company, where he has been a director since April 2023, February 2025, and October 2022, respectively. He also serves on the board of Crystalys Therapeutics, Inc., Odyssey Therapeutics, Inc., Cour Pharmaceuticals Development Company, Inc., Catalent, Inc., and is chairman of the board of directors of Latigo Biotherapeutics, Inc., each private biotech companies. He previously served as chairman of the board of directors of Horizon (acquired by Amgen) from June 2008 to October 2023. He previously served on the board of directors for Aurinia Pharmaceuticals Inc. (Nasdaq: AUPH), a public pharmaceutical company, from 2020 to 2022; Exicure, Inc. (Nasdaq: XCUR), a public biotechnology company, from 2019 to 2022; Assertio Therapeutics, Inc. (Nasdaq: ASRT), a public biopharma company, from 2014 to 2020; Raptor Pharmaceutical Corp. (Nasdaq: RPTP), a public biotechnology company, from 2010 to 2014; XOMA Corporation (Nasdaq: XOMA), a public biotechnology company, from 2011 to 2017; Sucampo Pharmaceuticals Inc. a formerly-public biopharmaceutical company (now part of Mallinckrodt plc), from 2016 to 2018; and served as chairman of the board of directors of Horizon (acquired by Amgen) from June 2008 to October 2023. He is also a member of the Economic Club of Chicago, the Commercial Club of Chicago. Mr. Walbert previously served on the boards of the Biotechnology Innovation Organization, the Pharmaceutical Research and Manufacturing Association, the Illinois Biotechnology Innovation Organization and World Business Chicago. Mr. Walbert received a Bachelor of Arts in business from Muhlenberg College in Allentown,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433705</wp:posOffset>
            </wp:positionV>
            <wp:extent cx="52120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Mr. Walbert is qualified to serve on our Board due to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executive-level leadership experience in the biotechnology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2280" w:type="dxa"/>
            <w:vAlign w:val="bottom"/>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PAUL HOELSCHER</w:t>
            </w:r>
          </w:p>
        </w:tc>
        <w:tc>
          <w:tcPr>
            <w:tcW w:w="5920" w:type="dxa"/>
            <w:vAlign w:val="bottom"/>
            <w:shd w:val="clear" w:color="auto" w:fill="5B66E5"/>
          </w:tcPr>
          <w:p>
            <w:pPr>
              <w:spacing w:after="0"/>
              <w:rPr>
                <w:sz w:val="24"/>
                <w:szCs w:val="24"/>
                <w:color w:val="auto"/>
              </w:rPr>
            </w:pPr>
          </w:p>
        </w:tc>
      </w:tr>
      <w:tr>
        <w:trPr>
          <w:trHeight w:val="67"/>
        </w:trPr>
        <w:tc>
          <w:tcPr>
            <w:tcW w:w="2280" w:type="dxa"/>
            <w:vAlign w:val="bottom"/>
            <w:shd w:val="clear" w:color="auto" w:fill="5B66E5"/>
          </w:tcPr>
          <w:p>
            <w:pPr>
              <w:spacing w:after="0"/>
              <w:rPr>
                <w:sz w:val="5"/>
                <w:szCs w:val="5"/>
                <w:color w:val="auto"/>
              </w:rPr>
            </w:pPr>
          </w:p>
        </w:tc>
        <w:tc>
          <w:tcPr>
            <w:tcW w:w="5920" w:type="dxa"/>
            <w:vAlign w:val="bottom"/>
            <w:shd w:val="clear" w:color="auto" w:fill="5B66E5"/>
          </w:tcPr>
          <w:p>
            <w:pPr>
              <w:spacing w:after="0"/>
              <w:rPr>
                <w:sz w:val="5"/>
                <w:szCs w:val="5"/>
                <w:color w:val="auto"/>
              </w:rPr>
            </w:pPr>
          </w:p>
        </w:tc>
      </w:tr>
      <w:tr>
        <w:trPr>
          <w:trHeight w:val="315"/>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61</w:t>
            </w:r>
          </w:p>
        </w:tc>
        <w:tc>
          <w:tcPr>
            <w:tcW w:w="59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 Audit</w:t>
            </w:r>
            <w:r>
              <w:rPr>
                <w:rFonts w:ascii="Times New Roman" w:cs="Times New Roman" w:eastAsia="Times New Roman" w:hAnsi="Times New Roman"/>
                <w:sz w:val="18"/>
                <w:szCs w:val="18"/>
                <w:b w:val="1"/>
                <w:bCs w:val="1"/>
                <w:color w:val="auto"/>
              </w:rPr>
              <w:t xml:space="preserve">    Other Public Directorships</w:t>
            </w:r>
            <w:r>
              <w:rPr>
                <w:rFonts w:ascii="Times New Roman" w:cs="Times New Roman" w:eastAsia="Times New Roman" w:hAnsi="Times New Roman"/>
                <w:sz w:val="18"/>
                <w:szCs w:val="18"/>
                <w:color w:val="auto"/>
              </w:rPr>
              <w:t>: None</w:t>
            </w:r>
          </w:p>
        </w:tc>
      </w:tr>
      <w:tr>
        <w:trPr>
          <w:trHeight w:val="238"/>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2024</w:t>
            </w:r>
          </w:p>
        </w:tc>
        <w:tc>
          <w:tcPr>
            <w:tcW w:w="5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10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Paul Hoelscher </w:t>
      </w:r>
      <w:r>
        <w:rPr>
          <w:rFonts w:ascii="Times New Roman" w:cs="Times New Roman" w:eastAsia="Times New Roman" w:hAnsi="Times New Roman"/>
          <w:sz w:val="18"/>
          <w:szCs w:val="18"/>
          <w:color w:val="auto"/>
        </w:rPr>
        <w:t>has served as a member of our Board since April 2024. Mr. Hoelscher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and Chief Financial Officer of Horizon, from 2014 until his retirement in May 2022, overseeing all aspects of Horizon’s financial operations. Prior to joining Horizon,</w:t>
      </w:r>
    </w:p>
    <w:p>
      <w:pPr>
        <w:ind w:left="1360" w:right="659"/>
        <w:spacing w:after="0" w:line="251" w:lineRule="auto"/>
        <w:rPr>
          <w:sz w:val="20"/>
          <w:szCs w:val="20"/>
          <w:color w:val="auto"/>
        </w:rPr>
      </w:pPr>
      <w:r>
        <w:rPr>
          <w:rFonts w:ascii="Times New Roman" w:cs="Times New Roman" w:eastAsia="Times New Roman" w:hAnsi="Times New Roman"/>
          <w:sz w:val="18"/>
          <w:szCs w:val="18"/>
          <w:color w:val="auto"/>
        </w:rPr>
        <w:t>Mr. Hoelscher held financial executive positions at OfficeMax, Inc., or OfficeMax, a business services company, from 2012 to 2014, including serving as Senior Vice President, Finance, Treasury and Corporate Development and co-leading the integration of OfficeMax and Office Depot Inc. Previously, Mr. Hoelscher held various financial leadership roles of increasing responsibility over nineteen years at Alberto Culver Company, a beauty care company, and worked in the audit practice of KPMG for seven years. Mr. Hoelscher received his B.S. in accountancy from the University of Illinois at Urbana-Champaign and is a certified public accountant. Mr. Hoelscher served on the board of Reneo Pharmaceuticals, Inc. (now OnKure Therapeutics, Inc. (Nasdaq: OKUR)), a public pharmaceutical company, from January 2022 to October 2024, and served on the board of trustees of the Illinois Region of The Leukemia &amp; Lymphoma Society from 2007 to 2022, including two terms as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151130</wp:posOffset>
            </wp:positionV>
            <wp:extent cx="5212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90" w:lineRule="exact"/>
        <w:rPr>
          <w:sz w:val="20"/>
          <w:szCs w:val="20"/>
          <w:color w:val="auto"/>
        </w:rPr>
      </w:pPr>
    </w:p>
    <w:p>
      <w:pPr>
        <w:ind w:left="13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Mr. Hoelscher is qualified to serve on our Board due to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public company experience in financial leadership roles.</w:t>
      </w: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 TERMS EXPIRING AT THE 2028 ANNUAL MEETING OF STOCKHOLDERS</w:t>
      </w: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2720" w:type="dxa"/>
            <w:vAlign w:val="bottom"/>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ELIZABETH GRAMMER, ESQ.</w:t>
            </w:r>
          </w:p>
        </w:tc>
        <w:tc>
          <w:tcPr>
            <w:tcW w:w="2480" w:type="dxa"/>
            <w:vAlign w:val="bottom"/>
            <w:shd w:val="clear" w:color="auto" w:fill="5B66E5"/>
          </w:tcPr>
          <w:p>
            <w:pPr>
              <w:spacing w:after="0"/>
              <w:rPr>
                <w:sz w:val="24"/>
                <w:szCs w:val="24"/>
                <w:color w:val="auto"/>
              </w:rPr>
            </w:pPr>
          </w:p>
        </w:tc>
        <w:tc>
          <w:tcPr>
            <w:tcW w:w="3000" w:type="dxa"/>
            <w:vAlign w:val="bottom"/>
            <w:shd w:val="clear" w:color="auto" w:fill="5B66E5"/>
          </w:tcPr>
          <w:p>
            <w:pPr>
              <w:spacing w:after="0"/>
              <w:rPr>
                <w:sz w:val="24"/>
                <w:szCs w:val="24"/>
                <w:color w:val="auto"/>
              </w:rPr>
            </w:pPr>
          </w:p>
        </w:tc>
      </w:tr>
      <w:tr>
        <w:trPr>
          <w:trHeight w:val="68"/>
        </w:trPr>
        <w:tc>
          <w:tcPr>
            <w:tcW w:w="2720" w:type="dxa"/>
            <w:vAlign w:val="bottom"/>
            <w:shd w:val="clear" w:color="auto" w:fill="5B66E5"/>
          </w:tcPr>
          <w:p>
            <w:pPr>
              <w:spacing w:after="0"/>
              <w:rPr>
                <w:sz w:val="5"/>
                <w:szCs w:val="5"/>
                <w:color w:val="auto"/>
              </w:rPr>
            </w:pPr>
          </w:p>
        </w:tc>
        <w:tc>
          <w:tcPr>
            <w:tcW w:w="2480" w:type="dxa"/>
            <w:vAlign w:val="bottom"/>
            <w:shd w:val="clear" w:color="auto" w:fill="5B66E5"/>
          </w:tcPr>
          <w:p>
            <w:pPr>
              <w:spacing w:after="0"/>
              <w:rPr>
                <w:sz w:val="5"/>
                <w:szCs w:val="5"/>
                <w:color w:val="auto"/>
              </w:rPr>
            </w:pPr>
          </w:p>
        </w:tc>
        <w:tc>
          <w:tcPr>
            <w:tcW w:w="3000" w:type="dxa"/>
            <w:vAlign w:val="bottom"/>
            <w:shd w:val="clear" w:color="auto" w:fill="5B66E5"/>
          </w:tcPr>
          <w:p>
            <w:pPr>
              <w:spacing w:after="0"/>
              <w:rPr>
                <w:sz w:val="5"/>
                <w:szCs w:val="5"/>
                <w:color w:val="auto"/>
              </w:rPr>
            </w:pPr>
          </w:p>
        </w:tc>
      </w:tr>
      <w:tr>
        <w:trPr>
          <w:trHeight w:val="315"/>
        </w:trPr>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62</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 None</w:t>
            </w:r>
          </w:p>
        </w:tc>
      </w:tr>
      <w:tr>
        <w:trPr>
          <w:trHeight w:val="220"/>
        </w:trPr>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2021</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Nominating and Corporate</w:t>
            </w:r>
          </w:p>
        </w:tc>
        <w:tc>
          <w:tcPr>
            <w:tcW w:w="3000" w:type="dxa"/>
            <w:vAlign w:val="bottom"/>
          </w:tcPr>
          <w:p>
            <w:pPr>
              <w:spacing w:after="0"/>
              <w:rPr>
                <w:sz w:val="19"/>
                <w:szCs w:val="19"/>
                <w:color w:val="auto"/>
              </w:rPr>
            </w:pPr>
          </w:p>
        </w:tc>
      </w:tr>
      <w:tr>
        <w:trPr>
          <w:trHeight w:val="234"/>
        </w:trPr>
        <w:tc>
          <w:tcPr>
            <w:tcW w:w="2720" w:type="dxa"/>
            <w:vAlign w:val="bottom"/>
          </w:tcPr>
          <w:p>
            <w:pPr>
              <w:spacing w:after="0"/>
              <w:rPr>
                <w:sz w:val="20"/>
                <w:szCs w:val="20"/>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Governance (Chair)</w:t>
            </w:r>
          </w:p>
        </w:tc>
        <w:tc>
          <w:tcPr>
            <w:tcW w:w="3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42545</wp:posOffset>
            </wp:positionV>
            <wp:extent cx="5212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53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Elizabeth Grammer, Esq. </w:t>
      </w:r>
      <w:r>
        <w:rPr>
          <w:rFonts w:ascii="Times New Roman" w:cs="Times New Roman" w:eastAsia="Times New Roman" w:hAnsi="Times New Roman"/>
          <w:sz w:val="18"/>
          <w:szCs w:val="18"/>
          <w:color w:val="auto"/>
        </w:rPr>
        <w:t>has served as a member of our Board since April 2021. Currently, Ms. Grammer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Senior Advisor of Ardelyx, Inc., or Ardelyx. From January 2020 to December 2025, she served as the Chief Legal and Administrative Officer of Ardelyx. From May 2014 to January 2020, she served as the General Counsel of Ardelyx and from December 2012 until May 2014, she served as the Vice President of Legal Affairs. From 2006 to December 2012, Ms. Grammer served as an independent outside corporate counsel for public and private biotechnology companies. From 2001 to 2006,</w:t>
      </w:r>
    </w:p>
    <w:p>
      <w:pPr>
        <w:spacing w:after="0" w:line="4" w:lineRule="exact"/>
        <w:rPr>
          <w:sz w:val="20"/>
          <w:szCs w:val="20"/>
          <w:color w:val="auto"/>
        </w:rPr>
      </w:pPr>
    </w:p>
    <w:p>
      <w:pPr>
        <w:ind w:left="1360" w:right="559"/>
        <w:spacing w:after="0" w:line="253" w:lineRule="auto"/>
        <w:rPr>
          <w:sz w:val="20"/>
          <w:szCs w:val="20"/>
          <w:color w:val="auto"/>
        </w:rPr>
      </w:pPr>
      <w:r>
        <w:rPr>
          <w:rFonts w:ascii="Times New Roman" w:cs="Times New Roman" w:eastAsia="Times New Roman" w:hAnsi="Times New Roman"/>
          <w:sz w:val="18"/>
          <w:szCs w:val="18"/>
          <w:color w:val="auto"/>
        </w:rPr>
        <w:t>Ms. Grammer served as Vice President and General Counsel of Trine Pharmaceuticals, Inc., a biopharmaceutical company. In addition, Ms. Grammer previously served as independent outside corporate counsel to GelTex Pharmaceuticals Inc, a biopharmaceutical company. Ms. Grammer also previously served on the board of directors of the California Life Sciences Association from 2018 to 2021. Ms. Grammer received a B.A. in political science from Boston University and a J.D. from Stanford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284480</wp:posOffset>
            </wp:positionV>
            <wp:extent cx="52120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360" w:right="10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Ms. Grammer is qualified to serve on our Board due to 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experience in the biopharma and pharmaceutical sector and in law.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2540" w:type="dxa"/>
            <w:vAlign w:val="bottom"/>
            <w:shd w:val="clear" w:color="auto" w:fill="5B66E5"/>
          </w:tcPr>
          <w:p>
            <w:pPr>
              <w:ind w:left="100"/>
              <w:spacing w:after="0"/>
              <w:rPr>
                <w:sz w:val="20"/>
                <w:szCs w:val="20"/>
                <w:color w:val="auto"/>
              </w:rPr>
            </w:pPr>
            <w:r>
              <w:rPr>
                <w:rFonts w:ascii="Times New Roman" w:cs="Times New Roman" w:eastAsia="Times New Roman" w:hAnsi="Times New Roman"/>
                <w:sz w:val="18"/>
                <w:szCs w:val="18"/>
                <w:b w:val="1"/>
                <w:bCs w:val="1"/>
                <w:color w:val="FFFFFF"/>
              </w:rPr>
              <w:t>BETH SEIDENBERG, M.D.</w:t>
            </w:r>
          </w:p>
        </w:tc>
        <w:tc>
          <w:tcPr>
            <w:tcW w:w="2620" w:type="dxa"/>
            <w:vAlign w:val="bottom"/>
            <w:shd w:val="clear" w:color="auto" w:fill="5B66E5"/>
          </w:tcPr>
          <w:p>
            <w:pPr>
              <w:spacing w:after="0"/>
              <w:rPr>
                <w:sz w:val="24"/>
                <w:szCs w:val="24"/>
                <w:color w:val="auto"/>
              </w:rPr>
            </w:pPr>
          </w:p>
        </w:tc>
        <w:tc>
          <w:tcPr>
            <w:tcW w:w="3040" w:type="dxa"/>
            <w:vAlign w:val="bottom"/>
            <w:shd w:val="clear" w:color="auto" w:fill="5B66E5"/>
          </w:tcPr>
          <w:p>
            <w:pPr>
              <w:spacing w:after="0"/>
              <w:rPr>
                <w:sz w:val="24"/>
                <w:szCs w:val="24"/>
                <w:color w:val="auto"/>
              </w:rPr>
            </w:pPr>
          </w:p>
        </w:tc>
      </w:tr>
      <w:tr>
        <w:trPr>
          <w:trHeight w:val="67"/>
        </w:trPr>
        <w:tc>
          <w:tcPr>
            <w:tcW w:w="2540" w:type="dxa"/>
            <w:vAlign w:val="bottom"/>
            <w:shd w:val="clear" w:color="auto" w:fill="5B66E5"/>
          </w:tcPr>
          <w:p>
            <w:pPr>
              <w:spacing w:after="0"/>
              <w:rPr>
                <w:sz w:val="5"/>
                <w:szCs w:val="5"/>
                <w:color w:val="auto"/>
              </w:rPr>
            </w:pPr>
          </w:p>
        </w:tc>
        <w:tc>
          <w:tcPr>
            <w:tcW w:w="2620" w:type="dxa"/>
            <w:vAlign w:val="bottom"/>
            <w:shd w:val="clear" w:color="auto" w:fill="5B66E5"/>
          </w:tcPr>
          <w:p>
            <w:pPr>
              <w:spacing w:after="0"/>
              <w:rPr>
                <w:sz w:val="5"/>
                <w:szCs w:val="5"/>
                <w:color w:val="auto"/>
              </w:rPr>
            </w:pPr>
          </w:p>
        </w:tc>
        <w:tc>
          <w:tcPr>
            <w:tcW w:w="3040" w:type="dxa"/>
            <w:vAlign w:val="bottom"/>
            <w:shd w:val="clear" w:color="auto" w:fill="5B66E5"/>
          </w:tcPr>
          <w:p>
            <w:pPr>
              <w:spacing w:after="0"/>
              <w:rPr>
                <w:sz w:val="5"/>
                <w:szCs w:val="5"/>
                <w:color w:val="auto"/>
              </w:rPr>
            </w:pPr>
          </w:p>
        </w:tc>
      </w:tr>
      <w:tr>
        <w:trPr>
          <w:trHeight w:val="315"/>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69</w:t>
            </w:r>
          </w:p>
        </w:tc>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20"/>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2007</w:t>
            </w:r>
          </w:p>
        </w:tc>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(Chair)</w:t>
            </w:r>
          </w:p>
        </w:tc>
        <w:tc>
          <w:tcPr>
            <w:tcW w:w="3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Vera Therapeutics, Inc., Kyverna</w:t>
            </w:r>
          </w:p>
        </w:tc>
      </w:tr>
      <w:tr>
        <w:trPr>
          <w:trHeight w:val="234"/>
        </w:trPr>
        <w:tc>
          <w:tcPr>
            <w:tcW w:w="2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Therapeutics,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20" w:lineRule="exact"/>
        <w:rPr>
          <w:sz w:val="20"/>
          <w:szCs w:val="20"/>
          <w:color w:val="auto"/>
        </w:rPr>
      </w:pPr>
    </w:p>
    <w:p>
      <w:pPr>
        <w:ind w:left="1360" w:right="57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Beth Seidenberg, M.D. </w:t>
      </w:r>
      <w:r>
        <w:rPr>
          <w:rFonts w:ascii="Times New Roman" w:cs="Times New Roman" w:eastAsia="Times New Roman" w:hAnsi="Times New Roman"/>
          <w:sz w:val="18"/>
          <w:szCs w:val="18"/>
          <w:color w:val="auto"/>
        </w:rPr>
        <w:t>has served as a member of our Board since April 2007 and was appointed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Board’s Lead Independent Director in May 2025. Dr. Seidenberg serves as a Managing Director of Westlake BioPartners, a life sciences venture capital firm she founded in September 2018. Since May 2005, Dr. Seidenberg has served as a general partner at Kleiner Perkins Caufield &amp; Byers, LLC, where she has primarily focused on life science investing. Dr. Seidenberg was previously the Senior Vice President, Head of Global Development and Chief Medical Officer at Amgen Inc. Previously,</w:t>
      </w:r>
    </w:p>
    <w:p>
      <w:pPr>
        <w:spacing w:after="0" w:line="4" w:lineRule="exact"/>
        <w:rPr>
          <w:sz w:val="20"/>
          <w:szCs w:val="20"/>
          <w:color w:val="auto"/>
        </w:rPr>
      </w:pPr>
    </w:p>
    <w:p>
      <w:pPr>
        <w:ind w:left="1360" w:right="599"/>
        <w:spacing w:after="0" w:line="251" w:lineRule="auto"/>
        <w:rPr>
          <w:sz w:val="20"/>
          <w:szCs w:val="20"/>
          <w:color w:val="auto"/>
        </w:rPr>
      </w:pPr>
      <w:r>
        <w:rPr>
          <w:rFonts w:ascii="Times New Roman" w:cs="Times New Roman" w:eastAsia="Times New Roman" w:hAnsi="Times New Roman"/>
          <w:sz w:val="18"/>
          <w:szCs w:val="18"/>
          <w:color w:val="auto"/>
        </w:rPr>
        <w:t>Dr. Seidenberg was a senior executive in research and development at Bristol Myers Squibb Company and Merck &amp; Co., Inc. Dr. Seidenberg received a B.A. in biology and anthropology from Barnard College and an M.D. from the University of Miami School of Medicine and completed her post-graduate training at Johns Hopkins University, George Washington University and the National Institutes of Health. Dr. Seidenberg currently serves on the boards of directors of Vera Therapeutics, Inc. (Nasdaq: VERA) and Kyverna Therapeutics, Inc. (Nasdaq: KYTX); positions she has held since June 2016 and September 2018, respectively. Dr. Seidenberg also serves on the board of directors of several privately held life sciences companies. She previously served on the board of directors of Acelyrin, Inc. (acquired by Alumis; (Nasdaq: SLRN)) from October 2020 until May 2025, Progyny, Inc. from May 2010 until November 2025, and Atara Biotherapeutics, Inc. (Nasdaq: ATRA) from August 2012 until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151130</wp:posOffset>
            </wp:positionV>
            <wp:extent cx="5212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90" w:lineRule="exact"/>
        <w:rPr>
          <w:sz w:val="20"/>
          <w:szCs w:val="20"/>
          <w:color w:val="auto"/>
        </w:rPr>
      </w:pPr>
    </w:p>
    <w:p>
      <w:pPr>
        <w:ind w:left="13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We believe that Dr. Seidenberg is qualified to serve on our Board due to 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training as a physician and her experience in the life sciences industry as a senior executive and venture capitalist who has incubated and invested in twenty-five biotechnology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CORPORATE GOVERNANCE AND RISK MANAGEMENT</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14" w:lineRule="exact"/>
        <w:rPr>
          <w:sz w:val="20"/>
          <w:szCs w:val="20"/>
          <w:color w:val="auto"/>
        </w:rPr>
      </w:pPr>
    </w:p>
    <w:p>
      <w:pPr>
        <w:ind w:left="1260" w:right="999" w:firstLine="360"/>
        <w:spacing w:after="0" w:line="250" w:lineRule="auto"/>
        <w:rPr>
          <w:sz w:val="20"/>
          <w:szCs w:val="20"/>
          <w:color w:val="auto"/>
        </w:rPr>
      </w:pPr>
      <w:r>
        <w:rPr>
          <w:rFonts w:ascii="Times New Roman" w:cs="Times New Roman" w:eastAsia="Times New Roman" w:hAnsi="Times New Roman"/>
          <w:sz w:val="18"/>
          <w:szCs w:val="18"/>
          <w:color w:val="auto"/>
        </w:rPr>
        <w:t>Our governance practices are documented in our Charter, our Bylaws, our Code of Conduct, our corporate governance guidelines, or the Corporate Governance Guidelines, and the charters of the committees of the Board, each of which is posted on our website at https://ir.sagimet.com/corporate-governance/governance-overview. Aspects of our governance documents are summarized below.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4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Under the listing standards, requirements and rules of Nasdaq, or the Nasdaq Listing Rules, independent directors must comprise a majority of our Board as a listed company within one year of the listing date. Our Board is currently comprised of a majority of independent directors.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has undertaken a review of the independence of each director. Based on information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provided by each director concerning her or his background, employment and affiliations, including family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relationships, our Board has determined that Dr. Seidenberg, Ms. Grammer, Mr. Hoelscher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Ms. Jarrett,</w:t>
      </w:r>
    </w:p>
    <w:p>
      <w:pPr>
        <w:ind w:left="1260"/>
        <w:spacing w:after="0" w:line="234" w:lineRule="auto"/>
        <w:rPr>
          <w:sz w:val="20"/>
          <w:szCs w:val="20"/>
          <w:color w:val="auto"/>
        </w:rPr>
      </w:pPr>
      <w:r>
        <w:rPr>
          <w:rFonts w:ascii="Times New Roman" w:cs="Times New Roman" w:eastAsia="Times New Roman" w:hAnsi="Times New Roman"/>
          <w:sz w:val="18"/>
          <w:szCs w:val="18"/>
          <w:color w:val="auto"/>
        </w:rPr>
        <w:t>Dr. Phillips, and Mr. Walbert do not have relationships that would interfere with the exercise of independent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judgment in carrying out the responsibilities of a director and that each of these directors is “independent”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that term is defined under the Nasdaq Listing Rules. Our Board has determined that each of Mr. Happel,</w:t>
      </w:r>
    </w:p>
    <w:p>
      <w:pPr>
        <w:ind w:left="1260"/>
        <w:spacing w:after="0" w:line="234" w:lineRule="auto"/>
        <w:rPr>
          <w:sz w:val="20"/>
          <w:szCs w:val="20"/>
          <w:color w:val="auto"/>
        </w:rPr>
      </w:pPr>
      <w:r>
        <w:rPr>
          <w:rFonts w:ascii="Times New Roman" w:cs="Times New Roman" w:eastAsia="Times New Roman" w:hAnsi="Times New Roman"/>
          <w:sz w:val="18"/>
          <w:szCs w:val="18"/>
          <w:color w:val="auto"/>
        </w:rPr>
        <w:t>by virtue of his position as our current Chief Executive Officer, and Dr. Kemble, by virtue of his prior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position as our former Chief Executive Officer, are not independent under applicable rules and regulations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SEC and the Nasdaq Listing Rules. In making these determinations, our Board considered the current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and prior relationships that each non-employee director has with our Company and all other facts and</w:t>
      </w:r>
    </w:p>
    <w:p>
      <w:pPr>
        <w:ind w:left="1260"/>
        <w:spacing w:after="0" w:line="235" w:lineRule="auto"/>
        <w:rPr>
          <w:sz w:val="20"/>
          <w:szCs w:val="20"/>
          <w:color w:val="auto"/>
        </w:rPr>
      </w:pPr>
      <w:r>
        <w:rPr>
          <w:rFonts w:ascii="Times New Roman" w:cs="Times New Roman" w:eastAsia="Times New Roman" w:hAnsi="Times New Roman"/>
          <w:sz w:val="18"/>
          <w:szCs w:val="18"/>
          <w:color w:val="auto"/>
        </w:rPr>
        <w:t>circumstances our Board deemed relevant in determining their independence, including the beneficial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ownership of our shares by each non-employee director and the transactions described in “Certain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Relationships and Related Person Transactions.”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THE BOARD’S ROLE IN RISK OVERSIGHT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Dr. Kemble is the current Chairman of our Board and Mr. Happel is our current Chief Executive Officer, hence the roles of Chairman and Chief Executive Officer are separated. We believe that separating these positions allows our Chief Executive Officer to focus on our day-to-day business, while allowing the Chairman to lead the Board in its fundamental role of providing advice to and independent oversight of management. Our Board recognizes the time, effort and energy that the Chief Executive Officer is required to devote to his position in the current business environment, as well as the commitment required to serve as our Chairman. While our Bylaws and Corporate Governance Guidelines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323"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Dr. Seidenberg, M.D. was appointed Lead Independent Director of our Board in May 2025. Our Board believes that the role of Lead Independent Director reinforces the Board’s independence from management and creates an environment that encourages objective oversight of management’s performance. The responsibilities of the Lead Independent Director include presiding at executive sessions of independent directors and serving as a liaison between our Chief Executive Officer, Chairman of the Board and our independent directors. The board periodically reviews its leadership structure to ensure that the chosen structure continues to strike the appropriate balance for the company and our stakeholders and enables us to promote the long-term interests of our shareholders.</w:t>
      </w:r>
    </w:p>
    <w:p>
      <w:pPr>
        <w:spacing w:after="0" w:line="124"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Management is responsible for the day-to-day management of risks we face, while our Board, as a whole and through its committees, has responsibility for the oversight of risk management. In its risk oversight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82" w:lineRule="auto"/>
        <w:rPr>
          <w:sz w:val="20"/>
          <w:szCs w:val="20"/>
          <w:color w:val="auto"/>
        </w:rPr>
      </w:pPr>
      <w:r>
        <w:rPr>
          <w:rFonts w:ascii="Times New Roman" w:cs="Times New Roman" w:eastAsia="Times New Roman" w:hAnsi="Times New Roman"/>
          <w:sz w:val="18"/>
          <w:szCs w:val="18"/>
          <w:color w:val="auto"/>
        </w:rPr>
        <w:t>role, our Board has the responsibility to satisfy itself that the risk management processes designed and implemented by management are adequate and functioning as designed.</w:t>
      </w:r>
    </w:p>
    <w:p>
      <w:pPr>
        <w:spacing w:after="0" w:line="8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role of our Board in overseeing the management of our risks is conducted primarily through committees of the Board, as disclosed in the descriptions of each of the committees below and in the charters of each of the committees. The full Board,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and such risk is discussed at a Board committee meeting, the chairperson of the relevant committee reports on the discussion to the full Board during the committee report portion of the next Board meeting. This enables the Board and its committees to coordinate in risk oversight, particularly with respect to risk interrelationships.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Our Board has established an audit committee, or the Audit Committee, a compensation committee, or the Compensation Committee, and the Nominating and Corporate Governance Committee. The composition and responsibilities of each of the committees of our Board are described below. Members serve on these committees until their resignation or until otherwise determined by our Board. Each committee has adopted a written charter that satisfies the application rules and regulation of the SEC and the Nasdaq Listing Rules, which we have posted to our website at www.sagimet.com. Our Board may establish other committees as it deems necessary or appropriate from time to time.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EVALUATING BOARD EFFECTIVENESS</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Board, led by the Nominating and Corporate Governance Committee, is committed to continuous improvement and believes annual self-evaluations are an important tool for evaluating effectiveness. Beginning in 2024, our Board began conducting an annual self-evaluation of the Board, which is presented by the Chairperson of the Nominating and Corporate Governance Committee to the Board for discussion. In addition, each committee conducts an annual self-assessment in a review process similar to that used by the Board.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adopted a written Code of Conduct that applies to all our employees, officers and directors. This includes our principal executive officer, principal financial officer and our controller, or persons performing similar functions. The full text of our Code of Conduct is posted on our website at https://ir.sagimet.com/corporate-governance/governance-overview. We intend to disclose on our website any amendments of our Code of Conduct or waivers that exempt any principal executive officer, principal financial officer, principal accounting officer or controller, or persons performing similar functions or our directors from provisions in the Code of Conduct.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familiarize new directors with the Company’s businesses, financial position, strategies, and policies, and assist them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our expense.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70" w:lineRule="auto"/>
        <w:rPr>
          <w:sz w:val="20"/>
          <w:szCs w:val="20"/>
          <w:color w:val="auto"/>
        </w:rPr>
      </w:pPr>
      <w:r>
        <w:rPr>
          <w:rFonts w:ascii="Times New Roman" w:cs="Times New Roman" w:eastAsia="Times New Roman" w:hAnsi="Times New Roman"/>
          <w:sz w:val="18"/>
          <w:szCs w:val="18"/>
          <w:color w:val="auto"/>
        </w:rPr>
        <w:t>effective oversight of the Company through the appropriate balance of diversity of perspectives, experience, expertise and skills. Our Corporate Governance Guidelines are reviewed periodically by the Nominating and Corporate Governance Committee, which will recommend any proposed changes to our Board for approval. Our Corporate Governance Guidelines can be found on our website at https://ir.sagimet.com/​corporate-governance/governance-overview.</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ATTENDANCE, COMMITTEE MEETINGS AND COMMITTEE MEMBERSHIP</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INDEPENDENCE</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BOARD</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CC</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NCGC</w:t>
            </w:r>
          </w:p>
        </w:tc>
      </w:tr>
      <w:tr>
        <w:trPr>
          <w:trHeight w:val="37"/>
        </w:trPr>
        <w:tc>
          <w:tcPr>
            <w:tcW w:w="2600" w:type="dxa"/>
            <w:vAlign w:val="bottom"/>
            <w:tcBorders>
              <w:bottom w:val="single" w:sz="8" w:color="auto"/>
            </w:tcBorders>
          </w:tcPr>
          <w:p>
            <w:pPr>
              <w:spacing w:after="0"/>
              <w:rPr>
                <w:sz w:val="3"/>
                <w:szCs w:val="3"/>
                <w:color w:val="auto"/>
              </w:rPr>
            </w:pPr>
          </w:p>
        </w:tc>
        <w:tc>
          <w:tcPr>
            <w:tcW w:w="320" w:type="dxa"/>
            <w:vAlign w:val="bottom"/>
            <w:tcBorders>
              <w:bottom w:val="single" w:sz="8" w:color="DEE0F9"/>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DEE0F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DEE0F9"/>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Borders>
              <w:bottom w:val="single" w:sz="8" w:color="DEE0F9"/>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40" w:type="dxa"/>
            <w:vAlign w:val="bottom"/>
            <w:tcBorders>
              <w:bottom w:val="single" w:sz="8" w:color="DEE0F9"/>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50"/>
        </w:trPr>
        <w:tc>
          <w:tcPr>
            <w:tcW w:w="29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David Happel</w:t>
            </w:r>
          </w:p>
        </w:tc>
        <w:tc>
          <w:tcPr>
            <w:tcW w:w="150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w w:val="99"/>
              </w:rPr>
              <w:t>No</w:t>
            </w:r>
          </w:p>
        </w:tc>
        <w:tc>
          <w:tcPr>
            <w:tcW w:w="84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shd w:val="clear" w:color="auto" w:fill="DEE0F9"/>
          </w:tcPr>
          <w:p>
            <w:pPr>
              <w:spacing w:after="0"/>
              <w:rPr>
                <w:sz w:val="21"/>
                <w:szCs w:val="21"/>
                <w:color w:val="auto"/>
              </w:rPr>
            </w:pPr>
          </w:p>
        </w:tc>
        <w:tc>
          <w:tcPr>
            <w:tcW w:w="320" w:type="dxa"/>
            <w:vAlign w:val="bottom"/>
            <w:shd w:val="clear" w:color="auto" w:fill="DEE0F9"/>
          </w:tcPr>
          <w:p>
            <w:pPr>
              <w:spacing w:after="0"/>
              <w:rPr>
                <w:sz w:val="21"/>
                <w:szCs w:val="21"/>
                <w:color w:val="auto"/>
              </w:rPr>
            </w:pPr>
          </w:p>
        </w:tc>
        <w:tc>
          <w:tcPr>
            <w:tcW w:w="720" w:type="dxa"/>
            <w:vAlign w:val="bottom"/>
            <w:shd w:val="clear" w:color="auto" w:fill="DEE0F9"/>
          </w:tcPr>
          <w:p>
            <w:pPr>
              <w:spacing w:after="0"/>
              <w:rPr>
                <w:sz w:val="21"/>
                <w:szCs w:val="21"/>
                <w:color w:val="auto"/>
              </w:rPr>
            </w:pPr>
          </w:p>
        </w:tc>
        <w:tc>
          <w:tcPr>
            <w:tcW w:w="340" w:type="dxa"/>
            <w:vAlign w:val="bottom"/>
            <w:shd w:val="clear" w:color="auto" w:fill="DEE0F9"/>
          </w:tcPr>
          <w:p>
            <w:pPr>
              <w:spacing w:after="0"/>
              <w:rPr>
                <w:sz w:val="21"/>
                <w:szCs w:val="21"/>
                <w:color w:val="auto"/>
              </w:rPr>
            </w:pPr>
          </w:p>
        </w:tc>
        <w:tc>
          <w:tcPr>
            <w:tcW w:w="720" w:type="dxa"/>
            <w:vAlign w:val="bottom"/>
            <w:shd w:val="clear" w:color="auto" w:fill="DEE0F9"/>
          </w:tcPr>
          <w:p>
            <w:pPr>
              <w:spacing w:after="0"/>
              <w:rPr>
                <w:sz w:val="21"/>
                <w:szCs w:val="21"/>
                <w:color w:val="auto"/>
              </w:rPr>
            </w:pP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Kemble, Ph.D.</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No</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w:t>
            </w: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9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Elizabeth Grammer, Esq.</w:t>
            </w:r>
          </w:p>
        </w:tc>
        <w:tc>
          <w:tcPr>
            <w:tcW w:w="150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84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shd w:val="clear" w:color="auto" w:fill="DEE0F9"/>
          </w:tcPr>
          <w:p>
            <w:pPr>
              <w:spacing w:after="0"/>
              <w:rPr>
                <w:sz w:val="23"/>
                <w:szCs w:val="23"/>
                <w:color w:val="auto"/>
              </w:rPr>
            </w:pPr>
          </w:p>
        </w:tc>
        <w:tc>
          <w:tcPr>
            <w:tcW w:w="320" w:type="dxa"/>
            <w:vAlign w:val="bottom"/>
            <w:shd w:val="clear" w:color="auto" w:fill="DEE0F9"/>
          </w:tcPr>
          <w:p>
            <w:pPr>
              <w:spacing w:after="0"/>
              <w:rPr>
                <w:sz w:val="23"/>
                <w:szCs w:val="23"/>
                <w:color w:val="auto"/>
              </w:rPr>
            </w:pPr>
          </w:p>
        </w:tc>
        <w:tc>
          <w:tcPr>
            <w:tcW w:w="720" w:type="dxa"/>
            <w:vAlign w:val="bottom"/>
            <w:shd w:val="clear" w:color="auto" w:fill="DEE0F9"/>
          </w:tcPr>
          <w:p>
            <w:pPr>
              <w:spacing w:after="0"/>
              <w:rPr>
                <w:sz w:val="23"/>
                <w:szCs w:val="23"/>
                <w:color w:val="auto"/>
              </w:rPr>
            </w:pPr>
          </w:p>
        </w:tc>
        <w:tc>
          <w:tcPr>
            <w:tcW w:w="340" w:type="dxa"/>
            <w:vAlign w:val="bottom"/>
            <w:shd w:val="clear" w:color="auto" w:fill="DEE0F9"/>
          </w:tcPr>
          <w:p>
            <w:pPr>
              <w:spacing w:after="0"/>
              <w:rPr>
                <w:sz w:val="23"/>
                <w:szCs w:val="23"/>
                <w:color w:val="auto"/>
              </w:rPr>
            </w:pPr>
          </w:p>
        </w:tc>
        <w:tc>
          <w:tcPr>
            <w:tcW w:w="72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Jarrett</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w:t>
            </w: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9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Beth Seidenberg, M.D.</w:t>
            </w:r>
          </w:p>
        </w:tc>
        <w:tc>
          <w:tcPr>
            <w:tcW w:w="150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84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rPr>
              <w:t>LID</w:t>
            </w:r>
          </w:p>
        </w:tc>
        <w:tc>
          <w:tcPr>
            <w:tcW w:w="740" w:type="dxa"/>
            <w:vAlign w:val="bottom"/>
            <w:shd w:val="clear" w:color="auto" w:fill="DEE0F9"/>
          </w:tcPr>
          <w:p>
            <w:pPr>
              <w:spacing w:after="0"/>
              <w:rPr>
                <w:sz w:val="23"/>
                <w:szCs w:val="23"/>
                <w:color w:val="auto"/>
              </w:rPr>
            </w:pPr>
          </w:p>
        </w:tc>
        <w:tc>
          <w:tcPr>
            <w:tcW w:w="320" w:type="dxa"/>
            <w:vAlign w:val="bottom"/>
            <w:shd w:val="clear" w:color="auto" w:fill="DEE0F9"/>
          </w:tcPr>
          <w:p>
            <w:pPr>
              <w:spacing w:after="0"/>
              <w:rPr>
                <w:sz w:val="23"/>
                <w:szCs w:val="23"/>
                <w:color w:val="auto"/>
              </w:rPr>
            </w:pPr>
          </w:p>
        </w:tc>
        <w:tc>
          <w:tcPr>
            <w:tcW w:w="1060" w:type="dxa"/>
            <w:vAlign w:val="bottom"/>
            <w:gridSpan w:val="2"/>
            <w:shd w:val="clear" w:color="auto" w:fill="DEE0F9"/>
          </w:tcPr>
          <w:p>
            <w:pPr>
              <w:jc w:val="center"/>
              <w:ind w:right="340"/>
              <w:spacing w:after="0"/>
              <w:rPr>
                <w:sz w:val="20"/>
                <w:szCs w:val="20"/>
                <w:color w:val="auto"/>
              </w:rPr>
            </w:pPr>
            <w:r>
              <w:rPr>
                <w:rFonts w:ascii="Times New Roman" w:cs="Times New Roman" w:eastAsia="Times New Roman" w:hAnsi="Times New Roman"/>
                <w:sz w:val="18"/>
                <w:szCs w:val="18"/>
                <w:color w:val="auto"/>
                <w:w w:val="99"/>
              </w:rPr>
              <w:t>C</w:t>
            </w:r>
          </w:p>
        </w:tc>
        <w:tc>
          <w:tcPr>
            <w:tcW w:w="720" w:type="dxa"/>
            <w:vAlign w:val="bottom"/>
            <w:shd w:val="clear" w:color="auto" w:fill="DEE0F9"/>
          </w:tcPr>
          <w:p>
            <w:pPr>
              <w:spacing w:after="0"/>
              <w:rPr>
                <w:sz w:val="23"/>
                <w:szCs w:val="23"/>
                <w:color w:val="auto"/>
              </w:rPr>
            </w:pP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Phillips, M.D.</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70"/>
        </w:trPr>
        <w:tc>
          <w:tcPr>
            <w:tcW w:w="29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Paul Hoelscher</w:t>
            </w:r>
          </w:p>
        </w:tc>
        <w:tc>
          <w:tcPr>
            <w:tcW w:w="150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840" w:type="dxa"/>
            <w:vAlign w:val="bottom"/>
            <w:gridSpan w:val="2"/>
            <w:shd w:val="clear" w:color="auto" w:fill="DEE0F9"/>
          </w:tcPr>
          <w:p>
            <w:pPr>
              <w:jc w:val="center"/>
              <w:ind w:right="320"/>
              <w:spacing w:after="0"/>
              <w:rPr>
                <w:sz w:val="20"/>
                <w:szCs w:val="20"/>
                <w:color w:val="auto"/>
              </w:rPr>
            </w:pPr>
            <w:r>
              <w:rPr>
                <w:rFonts w:ascii="Times New Roman" w:cs="Times New Roman" w:eastAsia="Times New Roman" w:hAnsi="Times New Roman"/>
                <w:sz w:val="18"/>
                <w:szCs w:val="18"/>
                <w:color w:val="auto"/>
                <w:w w:val="99"/>
              </w:rPr>
              <w:t>M</w:t>
            </w:r>
          </w:p>
        </w:tc>
        <w:tc>
          <w:tcPr>
            <w:tcW w:w="1060" w:type="dxa"/>
            <w:vAlign w:val="bottom"/>
            <w:gridSpan w:val="2"/>
            <w:shd w:val="clear" w:color="auto" w:fill="DEE0F9"/>
          </w:tcPr>
          <w:p>
            <w:pPr>
              <w:jc w:val="center"/>
              <w:ind w:right="340"/>
              <w:spacing w:after="0"/>
              <w:rPr>
                <w:sz w:val="20"/>
                <w:szCs w:val="20"/>
                <w:color w:val="auto"/>
              </w:rPr>
            </w:pPr>
            <w:r>
              <w:rPr>
                <w:rFonts w:ascii="Times New Roman" w:cs="Times New Roman" w:eastAsia="Times New Roman" w:hAnsi="Times New Roman"/>
                <w:sz w:val="18"/>
                <w:szCs w:val="18"/>
                <w:color w:val="auto"/>
                <w:w w:val="99"/>
              </w:rPr>
              <w:t>C</w:t>
            </w:r>
          </w:p>
        </w:tc>
        <w:tc>
          <w:tcPr>
            <w:tcW w:w="720" w:type="dxa"/>
            <w:vAlign w:val="bottom"/>
            <w:shd w:val="clear" w:color="auto" w:fill="DEE0F9"/>
          </w:tcPr>
          <w:p>
            <w:pPr>
              <w:spacing w:after="0"/>
              <w:rPr>
                <w:sz w:val="23"/>
                <w:szCs w:val="23"/>
                <w:color w:val="auto"/>
              </w:rPr>
            </w:pPr>
          </w:p>
        </w:tc>
        <w:tc>
          <w:tcPr>
            <w:tcW w:w="340" w:type="dxa"/>
            <w:vAlign w:val="bottom"/>
            <w:shd w:val="clear" w:color="auto" w:fill="DEE0F9"/>
          </w:tcPr>
          <w:p>
            <w:pPr>
              <w:spacing w:after="0"/>
              <w:rPr>
                <w:sz w:val="23"/>
                <w:szCs w:val="23"/>
                <w:color w:val="auto"/>
              </w:rPr>
            </w:pPr>
          </w:p>
        </w:tc>
        <w:tc>
          <w:tcPr>
            <w:tcW w:w="720" w:type="dxa"/>
            <w:vAlign w:val="bottom"/>
            <w:shd w:val="clear" w:color="auto" w:fill="DEE0F9"/>
          </w:tcPr>
          <w:p>
            <w:pPr>
              <w:spacing w:after="0"/>
              <w:rPr>
                <w:sz w:val="23"/>
                <w:szCs w:val="23"/>
                <w:color w:val="auto"/>
              </w:rPr>
            </w:pPr>
          </w:p>
        </w:tc>
      </w:tr>
      <w:tr>
        <w:trPr>
          <w:trHeight w:val="263"/>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P. Walbert</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w:t>
            </w:r>
          </w:p>
        </w:tc>
        <w:tc>
          <w:tcPr>
            <w:tcW w:w="720" w:type="dxa"/>
            <w:vAlign w:val="bottom"/>
          </w:tcPr>
          <w:p>
            <w:pPr>
              <w:spacing w:after="0"/>
              <w:rPr>
                <w:sz w:val="22"/>
                <w:szCs w:val="22"/>
                <w:color w:val="auto"/>
              </w:rPr>
            </w:pPr>
          </w:p>
        </w:tc>
      </w:tr>
      <w:tr>
        <w:trPr>
          <w:trHeight w:val="277"/>
        </w:trPr>
        <w:tc>
          <w:tcPr>
            <w:tcW w:w="29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i w:val="1"/>
                <w:iCs w:val="1"/>
                <w:color w:val="auto"/>
              </w:rPr>
              <w:t>Total meetings in 2025</w:t>
            </w:r>
          </w:p>
        </w:tc>
        <w:tc>
          <w:tcPr>
            <w:tcW w:w="1180" w:type="dxa"/>
            <w:vAlign w:val="bottom"/>
            <w:shd w:val="clear" w:color="auto" w:fill="DEE0F9"/>
          </w:tcPr>
          <w:p>
            <w:pPr>
              <w:spacing w:after="0"/>
              <w:rPr>
                <w:sz w:val="24"/>
                <w:szCs w:val="24"/>
                <w:color w:val="auto"/>
              </w:rPr>
            </w:pPr>
          </w:p>
        </w:tc>
        <w:tc>
          <w:tcPr>
            <w:tcW w:w="320" w:type="dxa"/>
            <w:vAlign w:val="bottom"/>
            <w:shd w:val="clear" w:color="auto" w:fill="DEE0F9"/>
          </w:tcPr>
          <w:p>
            <w:pPr>
              <w:spacing w:after="0"/>
              <w:rPr>
                <w:sz w:val="24"/>
                <w:szCs w:val="24"/>
                <w:color w:val="auto"/>
              </w:rPr>
            </w:pPr>
          </w:p>
        </w:tc>
        <w:tc>
          <w:tcPr>
            <w:tcW w:w="52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shd w:val="clear" w:color="auto" w:fill="DEE0F9"/>
          </w:tcPr>
          <w:p>
            <w:pPr>
              <w:spacing w:after="0"/>
              <w:rPr>
                <w:sz w:val="24"/>
                <w:szCs w:val="24"/>
                <w:color w:val="auto"/>
              </w:rPr>
            </w:pPr>
          </w:p>
        </w:tc>
        <w:tc>
          <w:tcPr>
            <w:tcW w:w="74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DEE0F9"/>
          </w:tcPr>
          <w:p>
            <w:pPr>
              <w:spacing w:after="0"/>
              <w:rPr>
                <w:sz w:val="24"/>
                <w:szCs w:val="24"/>
                <w:color w:val="auto"/>
              </w:rPr>
            </w:pPr>
          </w:p>
        </w:tc>
        <w:tc>
          <w:tcPr>
            <w:tcW w:w="72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40" w:type="dxa"/>
            <w:vAlign w:val="bottom"/>
            <w:shd w:val="clear" w:color="auto" w:fill="DEE0F9"/>
          </w:tcPr>
          <w:p>
            <w:pPr>
              <w:spacing w:after="0"/>
              <w:rPr>
                <w:sz w:val="24"/>
                <w:szCs w:val="24"/>
                <w:color w:val="auto"/>
              </w:rPr>
            </w:pPr>
          </w:p>
        </w:tc>
        <w:tc>
          <w:tcPr>
            <w:tcW w:w="72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54"/>
        </w:trPr>
        <w:tc>
          <w:tcPr>
            <w:tcW w:w="2600" w:type="dxa"/>
            <w:vAlign w:val="bottom"/>
            <w:shd w:val="clear" w:color="auto" w:fill="DEE0F9"/>
          </w:tcPr>
          <w:p>
            <w:pPr>
              <w:spacing w:after="0"/>
              <w:rPr>
                <w:sz w:val="4"/>
                <w:szCs w:val="4"/>
                <w:color w:val="auto"/>
              </w:rPr>
            </w:pPr>
          </w:p>
        </w:tc>
        <w:tc>
          <w:tcPr>
            <w:tcW w:w="320" w:type="dxa"/>
            <w:vAlign w:val="bottom"/>
            <w:shd w:val="clear" w:color="auto" w:fill="DEE0F9"/>
          </w:tcPr>
          <w:p>
            <w:pPr>
              <w:spacing w:after="0"/>
              <w:rPr>
                <w:sz w:val="4"/>
                <w:szCs w:val="4"/>
                <w:color w:val="auto"/>
              </w:rPr>
            </w:pPr>
          </w:p>
        </w:tc>
        <w:tc>
          <w:tcPr>
            <w:tcW w:w="1180" w:type="dxa"/>
            <w:vAlign w:val="bottom"/>
            <w:shd w:val="clear" w:color="auto" w:fill="DEE0F9"/>
          </w:tcPr>
          <w:p>
            <w:pPr>
              <w:spacing w:after="0"/>
              <w:rPr>
                <w:sz w:val="4"/>
                <w:szCs w:val="4"/>
                <w:color w:val="auto"/>
              </w:rPr>
            </w:pPr>
          </w:p>
        </w:tc>
        <w:tc>
          <w:tcPr>
            <w:tcW w:w="320" w:type="dxa"/>
            <w:vAlign w:val="bottom"/>
            <w:shd w:val="clear" w:color="auto" w:fill="DEE0F9"/>
          </w:tcPr>
          <w:p>
            <w:pPr>
              <w:spacing w:after="0"/>
              <w:rPr>
                <w:sz w:val="4"/>
                <w:szCs w:val="4"/>
                <w:color w:val="auto"/>
              </w:rPr>
            </w:pPr>
          </w:p>
        </w:tc>
        <w:tc>
          <w:tcPr>
            <w:tcW w:w="520" w:type="dxa"/>
            <w:vAlign w:val="bottom"/>
            <w:shd w:val="clear" w:color="auto" w:fill="DEE0F9"/>
          </w:tcPr>
          <w:p>
            <w:pPr>
              <w:spacing w:after="0"/>
              <w:rPr>
                <w:sz w:val="4"/>
                <w:szCs w:val="4"/>
                <w:color w:val="auto"/>
              </w:rPr>
            </w:pPr>
          </w:p>
        </w:tc>
        <w:tc>
          <w:tcPr>
            <w:tcW w:w="320" w:type="dxa"/>
            <w:vAlign w:val="bottom"/>
            <w:shd w:val="clear" w:color="auto" w:fill="DEE0F9"/>
          </w:tcPr>
          <w:p>
            <w:pPr>
              <w:spacing w:after="0"/>
              <w:rPr>
                <w:sz w:val="4"/>
                <w:szCs w:val="4"/>
                <w:color w:val="auto"/>
              </w:rPr>
            </w:pPr>
          </w:p>
        </w:tc>
        <w:tc>
          <w:tcPr>
            <w:tcW w:w="740" w:type="dxa"/>
            <w:vAlign w:val="bottom"/>
            <w:shd w:val="clear" w:color="auto" w:fill="DEE0F9"/>
          </w:tcPr>
          <w:p>
            <w:pPr>
              <w:spacing w:after="0"/>
              <w:rPr>
                <w:sz w:val="4"/>
                <w:szCs w:val="4"/>
                <w:color w:val="auto"/>
              </w:rPr>
            </w:pPr>
          </w:p>
        </w:tc>
        <w:tc>
          <w:tcPr>
            <w:tcW w:w="320" w:type="dxa"/>
            <w:vAlign w:val="bottom"/>
            <w:shd w:val="clear" w:color="auto" w:fill="DEE0F9"/>
          </w:tcPr>
          <w:p>
            <w:pPr>
              <w:spacing w:after="0"/>
              <w:rPr>
                <w:sz w:val="4"/>
                <w:szCs w:val="4"/>
                <w:color w:val="auto"/>
              </w:rPr>
            </w:pPr>
          </w:p>
        </w:tc>
        <w:tc>
          <w:tcPr>
            <w:tcW w:w="720" w:type="dxa"/>
            <w:vAlign w:val="bottom"/>
            <w:shd w:val="clear" w:color="auto" w:fill="DEE0F9"/>
          </w:tcPr>
          <w:p>
            <w:pPr>
              <w:spacing w:after="0"/>
              <w:rPr>
                <w:sz w:val="4"/>
                <w:szCs w:val="4"/>
                <w:color w:val="auto"/>
              </w:rPr>
            </w:pPr>
          </w:p>
        </w:tc>
        <w:tc>
          <w:tcPr>
            <w:tcW w:w="340" w:type="dxa"/>
            <w:vAlign w:val="bottom"/>
            <w:shd w:val="clear" w:color="auto" w:fill="DEE0F9"/>
          </w:tcPr>
          <w:p>
            <w:pPr>
              <w:spacing w:after="0"/>
              <w:rPr>
                <w:sz w:val="4"/>
                <w:szCs w:val="4"/>
                <w:color w:val="auto"/>
              </w:rPr>
            </w:pPr>
          </w:p>
        </w:tc>
        <w:tc>
          <w:tcPr>
            <w:tcW w:w="720" w:type="dxa"/>
            <w:vAlign w:val="bottom"/>
            <w:shd w:val="clear" w:color="auto" w:fill="DEE0F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-1576705</wp:posOffset>
            </wp:positionV>
            <wp:extent cx="205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-1576705</wp:posOffset>
            </wp:positionV>
            <wp:extent cx="2057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-1576705</wp:posOffset>
            </wp:positionV>
            <wp:extent cx="2057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-1576705</wp:posOffset>
            </wp:positionV>
            <wp:extent cx="2057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-1576705</wp:posOffset>
            </wp:positionV>
            <wp:extent cx="2057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13" w:lineRule="exact"/>
        <w:rPr>
          <w:sz w:val="20"/>
          <w:szCs w:val="20"/>
          <w:color w:val="auto"/>
        </w:rPr>
      </w:pPr>
    </w:p>
    <w:p>
      <w:pPr>
        <w:ind w:left="126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AC </w:t>
      </w:r>
      <w:r>
        <w:rPr>
          <w:rFonts w:ascii="Times New Roman" w:cs="Times New Roman" w:eastAsia="Times New Roman" w:hAnsi="Times New Roman"/>
          <w:sz w:val="18"/>
          <w:szCs w:val="18"/>
          <w:color w:val="auto"/>
        </w:rPr>
        <w:t>= Audit Committee</w:t>
      </w:r>
      <w:r>
        <w:rPr>
          <w:rFonts w:ascii="Times New Roman" w:cs="Times New Roman" w:eastAsia="Times New Roman" w:hAnsi="Times New Roman"/>
          <w:sz w:val="18"/>
          <w:szCs w:val="18"/>
          <w:b w:val="1"/>
          <w:bCs w:val="1"/>
          <w:color w:val="auto"/>
        </w:rPr>
        <w:t xml:space="preserve"> CC </w:t>
      </w:r>
      <w:r>
        <w:rPr>
          <w:rFonts w:ascii="Times New Roman" w:cs="Times New Roman" w:eastAsia="Times New Roman" w:hAnsi="Times New Roman"/>
          <w:sz w:val="18"/>
          <w:szCs w:val="18"/>
          <w:color w:val="auto"/>
        </w:rPr>
        <w:t>= Compensation Committee</w:t>
      </w:r>
      <w:r>
        <w:rPr>
          <w:rFonts w:ascii="Times New Roman" w:cs="Times New Roman" w:eastAsia="Times New Roman" w:hAnsi="Times New Roman"/>
          <w:sz w:val="18"/>
          <w:szCs w:val="18"/>
          <w:b w:val="1"/>
          <w:bCs w:val="1"/>
          <w:color w:val="auto"/>
        </w:rPr>
        <w:t xml:space="preserve"> NCGC </w:t>
      </w:r>
      <w:r>
        <w:rPr>
          <w:rFonts w:ascii="Times New Roman" w:cs="Times New Roman" w:eastAsia="Times New Roman" w:hAnsi="Times New Roman"/>
          <w:sz w:val="18"/>
          <w:szCs w:val="18"/>
          <w:color w:val="auto"/>
        </w:rPr>
        <w:t>= Nominating and Corporate Governance Committee</w:t>
      </w:r>
      <w:r>
        <w:rPr>
          <w:rFonts w:ascii="Times New Roman" w:cs="Times New Roman" w:eastAsia="Times New Roman" w:hAnsi="Times New Roman"/>
          <w:sz w:val="18"/>
          <w:szCs w:val="18"/>
          <w:b w:val="1"/>
          <w:bCs w:val="1"/>
          <w:color w:val="auto"/>
        </w:rPr>
        <w:t xml:space="preserve"> LID </w:t>
      </w:r>
      <w:r>
        <w:rPr>
          <w:rFonts w:ascii="Times New Roman" w:cs="Times New Roman" w:eastAsia="Times New Roman" w:hAnsi="Times New Roman"/>
          <w:sz w:val="18"/>
          <w:szCs w:val="18"/>
          <w:color w:val="auto"/>
        </w:rPr>
        <w:t>= Lead independent Director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 Chair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 </w:t>
      </w:r>
      <w:r>
        <w:rPr>
          <w:rFonts w:ascii="Times New Roman" w:cs="Times New Roman" w:eastAsia="Times New Roman" w:hAnsi="Times New Roman"/>
          <w:sz w:val="18"/>
          <w:szCs w:val="18"/>
          <w:color w:val="auto"/>
        </w:rPr>
        <w:t>= Member</w:t>
      </w:r>
    </w:p>
    <w:p>
      <w:pPr>
        <w:spacing w:after="0" w:line="445" w:lineRule="exact"/>
        <w:rPr>
          <w:sz w:val="20"/>
          <w:szCs w:val="20"/>
          <w:color w:val="auto"/>
        </w:rPr>
      </w:pPr>
    </w:p>
    <w:p>
      <w:pPr>
        <w:sectPr>
          <w:pgSz w:w="11900" w:h="16838" w:orient="portrait"/>
          <w:cols w:equalWidth="0" w:num="2">
            <w:col w:w="6480" w:space="400"/>
            <w:col w:w="2999"/>
          </w:cols>
          <w:pgMar w:left="580" w:top="97" w:right="1440" w:bottom="1440" w:gutter="0" w:footer="0" w:header="0"/>
          <w:type w:val="continuous"/>
        </w:sectPr>
      </w:pPr>
    </w:p>
    <w:p>
      <w:pPr>
        <w:ind w:left="1260" w:right="459" w:firstLine="360"/>
        <w:spacing w:after="0" w:line="275" w:lineRule="auto"/>
        <w:rPr>
          <w:sz w:val="20"/>
          <w:szCs w:val="20"/>
          <w:color w:val="auto"/>
        </w:rPr>
      </w:pPr>
      <w:r>
        <w:rPr>
          <w:rFonts w:ascii="Times New Roman" w:cs="Times New Roman" w:eastAsia="Times New Roman" w:hAnsi="Times New Roman"/>
          <w:sz w:val="18"/>
          <w:szCs w:val="18"/>
          <w:color w:val="auto"/>
        </w:rPr>
        <w:t>During 2025, our Board held ten meetings, our Compensation Committee held two meetings, our Audit Committee held four meetings and our Nominating and Corporate Governance Committee held two meetings. Each director attended at least 75% of meetings of each Committee on which he or she served in 2025.</w:t>
      </w: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Directors are encouraged, but not required, to attend our annual stockholder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4"/>
          <w:szCs w:val="14"/>
          <w:b w:val="1"/>
          <w:bCs w:val="1"/>
          <w:color w:val="5B66E5"/>
        </w:rPr>
        <w:t>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67945</wp:posOffset>
            </wp:positionV>
            <wp:extent cx="5212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Chair</w:t>
      </w:r>
      <w:r>
        <w:rPr>
          <w:rFonts w:ascii="Times New Roman" w:cs="Times New Roman" w:eastAsia="Times New Roman" w:hAnsi="Times New Roman"/>
          <w:sz w:val="18"/>
          <w:szCs w:val="18"/>
          <w:color w:val="52A69B"/>
        </w:rPr>
        <w:t>:</w:t>
      </w:r>
      <w:r>
        <w:rPr>
          <w:rFonts w:ascii="Times New Roman" w:cs="Times New Roman" w:eastAsia="Times New Roman" w:hAnsi="Times New Roman"/>
          <w:sz w:val="18"/>
          <w:szCs w:val="18"/>
          <w:b w:val="1"/>
          <w:bCs w:val="1"/>
          <w:color w:val="52A69B"/>
        </w:rPr>
        <w:t xml:space="preserve"> </w:t>
      </w:r>
      <w:r>
        <w:rPr>
          <w:rFonts w:ascii="Times New Roman" w:cs="Times New Roman" w:eastAsia="Times New Roman" w:hAnsi="Times New Roman"/>
          <w:sz w:val="18"/>
          <w:szCs w:val="18"/>
          <w:color w:val="000000"/>
        </w:rPr>
        <w:t>Paul Hoelscher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Additional Committee Members</w:t>
      </w:r>
      <w:r>
        <w:rPr>
          <w:rFonts w:ascii="Times New Roman" w:cs="Times New Roman" w:eastAsia="Times New Roman" w:hAnsi="Times New Roman"/>
          <w:sz w:val="18"/>
          <w:szCs w:val="18"/>
          <w:color w:val="52A69B"/>
        </w:rPr>
        <w:t>:</w:t>
      </w:r>
    </w:p>
    <w:p>
      <w:pPr>
        <w:spacing w:after="0" w:line="148" w:lineRule="exact"/>
        <w:rPr>
          <w:sz w:val="20"/>
          <w:szCs w:val="20"/>
          <w:color w:val="auto"/>
        </w:rPr>
      </w:pPr>
    </w:p>
    <w:p>
      <w:pPr>
        <w:ind w:left="1620" w:hanging="180"/>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P. Walbert</w:t>
      </w:r>
    </w:p>
    <w:p>
      <w:pPr>
        <w:spacing w:after="0" w:line="117" w:lineRule="exact"/>
        <w:rPr>
          <w:rFonts w:ascii="Times New Roman" w:cs="Times New Roman" w:eastAsia="Times New Roman" w:hAnsi="Times New Roman"/>
          <w:sz w:val="18"/>
          <w:szCs w:val="18"/>
          <w:color w:val="auto"/>
        </w:rPr>
      </w:pPr>
    </w:p>
    <w:p>
      <w:pPr>
        <w:ind w:left="1620" w:hanging="180"/>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Jarrett</w:t>
      </w:r>
    </w:p>
    <w:p>
      <w:pPr>
        <w:spacing w:after="0" w:line="144" w:lineRule="exact"/>
        <w:rPr>
          <w:rFonts w:ascii="Times New Roman" w:cs="Times New Roman" w:eastAsia="Times New Roman" w:hAnsi="Times New Roman"/>
          <w:sz w:val="18"/>
          <w:szCs w:val="18"/>
          <w:color w:val="auto"/>
        </w:rPr>
      </w:pPr>
    </w:p>
    <w:p>
      <w:pPr>
        <w:ind w:left="1620" w:hanging="360"/>
        <w:spacing w:after="0" w:line="261" w:lineRule="auto"/>
        <w:tabs>
          <w:tab w:leader="none" w:pos="1620" w:val="left"/>
        </w:tabs>
        <w:numPr>
          <w:ilvl w:val="0"/>
          <w:numId w:val="16"/>
        </w:numPr>
        <w:rPr>
          <w:rFonts w:ascii="MS PGothic" w:cs="MS PGothic" w:eastAsia="MS PGothic" w:hAnsi="MS PGothic"/>
          <w:sz w:val="18"/>
          <w:szCs w:val="18"/>
          <w:color w:val="52A69B"/>
        </w:rPr>
      </w:pPr>
      <w:r>
        <w:rPr>
          <w:rFonts w:ascii="Times New Roman" w:cs="Times New Roman" w:eastAsia="Times New Roman" w:hAnsi="Times New Roman"/>
          <w:sz w:val="18"/>
          <w:szCs w:val="18"/>
          <w:color w:val="auto"/>
        </w:rPr>
        <w:t>All members are deemed independent and financially literate under the applicable rules and regulations of the SEC and Nasdaq.</w:t>
      </w:r>
    </w:p>
    <w:p>
      <w:pPr>
        <w:spacing w:after="0" w:line="112" w:lineRule="exact"/>
        <w:rPr>
          <w:rFonts w:ascii="MS PGothic" w:cs="MS PGothic" w:eastAsia="MS PGothic" w:hAnsi="MS PGothic"/>
          <w:sz w:val="18"/>
          <w:szCs w:val="18"/>
          <w:color w:val="52A69B"/>
        </w:rPr>
      </w:pPr>
    </w:p>
    <w:p>
      <w:pPr>
        <w:ind w:left="1620" w:right="100" w:hanging="360"/>
        <w:spacing w:after="0" w:line="261" w:lineRule="auto"/>
        <w:tabs>
          <w:tab w:leader="none" w:pos="1620" w:val="left"/>
        </w:tabs>
        <w:numPr>
          <w:ilvl w:val="0"/>
          <w:numId w:val="16"/>
        </w:numPr>
        <w:rPr>
          <w:rFonts w:ascii="MS PGothic" w:cs="MS PGothic" w:eastAsia="MS PGothic" w:hAnsi="MS PGothic"/>
          <w:sz w:val="18"/>
          <w:szCs w:val="18"/>
          <w:color w:val="52A69B"/>
        </w:rPr>
      </w:pPr>
      <w:r>
        <w:rPr>
          <w:rFonts w:ascii="Times New Roman" w:cs="Times New Roman" w:eastAsia="Times New Roman" w:hAnsi="Times New Roman"/>
          <w:sz w:val="18"/>
          <w:szCs w:val="18"/>
          <w:color w:val="auto"/>
        </w:rPr>
        <w:t>Paul Hoelscher and Jennifer Jarrett each qualifies as an audit committee financial expert within the meaning of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-1262380</wp:posOffset>
            </wp:positionV>
            <wp:extent cx="240030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among other things:</w:t>
      </w:r>
    </w:p>
    <w:p>
      <w:pPr>
        <w:spacing w:after="0" w:line="144" w:lineRule="exact"/>
        <w:rPr>
          <w:sz w:val="20"/>
          <w:szCs w:val="20"/>
          <w:color w:val="auto"/>
        </w:rPr>
      </w:pPr>
    </w:p>
    <w:p>
      <w:pPr>
        <w:ind w:left="360" w:right="959" w:hanging="172"/>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oversee our corporate accounting and financial reporting processes;</w:t>
      </w:r>
    </w:p>
    <w:p>
      <w:pPr>
        <w:spacing w:after="0" w:line="94" w:lineRule="exact"/>
        <w:rPr>
          <w:rFonts w:ascii="Times New Roman" w:cs="Times New Roman" w:eastAsia="Times New Roman" w:hAnsi="Times New Roman"/>
          <w:sz w:val="18"/>
          <w:szCs w:val="18"/>
          <w:color w:val="auto"/>
        </w:rPr>
      </w:pPr>
    </w:p>
    <w:p>
      <w:pPr>
        <w:ind w:left="360" w:right="439" w:hanging="172"/>
        <w:spacing w:after="0" w:line="261"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98" w:lineRule="exact"/>
        <w:rPr>
          <w:rFonts w:ascii="Times New Roman" w:cs="Times New Roman" w:eastAsia="Times New Roman" w:hAnsi="Times New Roman"/>
          <w:sz w:val="18"/>
          <w:szCs w:val="18"/>
          <w:color w:val="auto"/>
        </w:rPr>
      </w:pPr>
    </w:p>
    <w:p>
      <w:pPr>
        <w:ind w:left="360" w:right="559" w:hanging="172"/>
        <w:spacing w:after="0" w:line="258"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15" w:lineRule="exact"/>
        <w:rPr>
          <w:rFonts w:ascii="Times New Roman" w:cs="Times New Roman" w:eastAsia="Times New Roman" w:hAnsi="Times New Roman"/>
          <w:sz w:val="18"/>
          <w:szCs w:val="18"/>
          <w:color w:val="auto"/>
        </w:rPr>
      </w:pPr>
    </w:p>
    <w:p>
      <w:pPr>
        <w:ind w:left="360" w:right="759" w:hanging="172"/>
        <w:spacing w:after="0" w:line="266"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94" w:lineRule="exact"/>
        <w:rPr>
          <w:rFonts w:ascii="Times New Roman" w:cs="Times New Roman" w:eastAsia="Times New Roman" w:hAnsi="Times New Roman"/>
          <w:sz w:val="18"/>
          <w:szCs w:val="18"/>
          <w:color w:val="auto"/>
        </w:rPr>
      </w:pPr>
    </w:p>
    <w:p>
      <w:pPr>
        <w:ind w:left="360" w:hanging="17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360" w:right="439" w:hanging="172"/>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insurance coverage for our officers and directors;</w:t>
      </w:r>
    </w:p>
    <w:p>
      <w:pPr>
        <w:spacing w:after="0" w:line="80" w:lineRule="exact"/>
        <w:rPr>
          <w:rFonts w:ascii="Times New Roman" w:cs="Times New Roman" w:eastAsia="Times New Roman" w:hAnsi="Times New Roman"/>
          <w:sz w:val="18"/>
          <w:szCs w:val="18"/>
          <w:color w:val="auto"/>
        </w:rPr>
      </w:pPr>
    </w:p>
    <w:p>
      <w:pPr>
        <w:ind w:left="360" w:right="999" w:hanging="172"/>
        <w:spacing w:after="0" w:line="261"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significant existing and emerging cybersecurity risks, including material cybersecurity incidents and any disclosure obligations arising from any such incidents;</w:t>
      </w:r>
    </w:p>
    <w:p>
      <w:pPr>
        <w:spacing w:after="0" w:line="112" w:lineRule="exact"/>
        <w:rPr>
          <w:rFonts w:ascii="Times New Roman" w:cs="Times New Roman" w:eastAsia="Times New Roman" w:hAnsi="Times New Roman"/>
          <w:sz w:val="18"/>
          <w:szCs w:val="18"/>
          <w:color w:val="auto"/>
        </w:rPr>
      </w:pPr>
    </w:p>
    <w:p>
      <w:pPr>
        <w:ind w:left="360" w:right="479" w:hanging="172"/>
        <w:spacing w:after="0" w:line="258"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that describes our internal quality control procedures, any material issues with such procedures, and any steps taken to deal with such issues when required by applicable law; and</w:t>
      </w:r>
    </w:p>
    <w:p>
      <w:pPr>
        <w:spacing w:after="0" w:line="115" w:lineRule="exact"/>
        <w:rPr>
          <w:rFonts w:ascii="Times New Roman" w:cs="Times New Roman" w:eastAsia="Times New Roman" w:hAnsi="Times New Roman"/>
          <w:sz w:val="18"/>
          <w:szCs w:val="18"/>
          <w:color w:val="auto"/>
        </w:rPr>
      </w:pPr>
    </w:p>
    <w:p>
      <w:pPr>
        <w:ind w:left="360" w:right="439" w:hanging="172"/>
        <w:spacing w:after="0" w:line="266"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200" w:lineRule="exact"/>
        <w:rPr>
          <w:sz w:val="20"/>
          <w:szCs w:val="20"/>
          <w:color w:val="auto"/>
        </w:rPr>
      </w:pPr>
    </w:p>
    <w:p>
      <w:pPr>
        <w:sectPr>
          <w:pgSz w:w="11900" w:h="16838" w:orient="portrait"/>
          <w:cols w:equalWidth="0" w:num="2">
            <w:col w:w="4780" w:space="360"/>
            <w:col w:w="47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4"/>
          <w:szCs w:val="14"/>
          <w:b w:val="1"/>
          <w:bCs w:val="1"/>
          <w:color w:val="5B66E5"/>
        </w:rPr>
        <w:t>THE NOMINATING &amp;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67945</wp:posOffset>
            </wp:positionV>
            <wp:extent cx="5212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Chair</w:t>
      </w:r>
      <w:r>
        <w:rPr>
          <w:rFonts w:ascii="Times New Roman" w:cs="Times New Roman" w:eastAsia="Times New Roman" w:hAnsi="Times New Roman"/>
          <w:sz w:val="18"/>
          <w:szCs w:val="18"/>
          <w:color w:val="52A69B"/>
        </w:rPr>
        <w:t>:</w:t>
      </w:r>
      <w:r>
        <w:rPr>
          <w:rFonts w:ascii="Times New Roman" w:cs="Times New Roman" w:eastAsia="Times New Roman" w:hAnsi="Times New Roman"/>
          <w:sz w:val="18"/>
          <w:szCs w:val="18"/>
          <w:b w:val="1"/>
          <w:bCs w:val="1"/>
          <w:color w:val="52A69B"/>
        </w:rPr>
        <w:t xml:space="preserve"> </w:t>
      </w:r>
      <w:r>
        <w:rPr>
          <w:rFonts w:ascii="Times New Roman" w:cs="Times New Roman" w:eastAsia="Times New Roman" w:hAnsi="Times New Roman"/>
          <w:sz w:val="18"/>
          <w:szCs w:val="18"/>
          <w:color w:val="000000"/>
        </w:rPr>
        <w:t>Elizabeth Grammer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Additional Committee Members</w:t>
      </w:r>
      <w:r>
        <w:rPr>
          <w:rFonts w:ascii="Times New Roman" w:cs="Times New Roman" w:eastAsia="Times New Roman" w:hAnsi="Times New Roman"/>
          <w:sz w:val="18"/>
          <w:szCs w:val="18"/>
          <w:color w:val="52A69B"/>
        </w:rPr>
        <w:t>:</w:t>
      </w:r>
    </w:p>
    <w:p>
      <w:pPr>
        <w:spacing w:after="0" w:line="148" w:lineRule="exact"/>
        <w:rPr>
          <w:sz w:val="20"/>
          <w:szCs w:val="20"/>
          <w:color w:val="auto"/>
        </w:rPr>
      </w:pPr>
    </w:p>
    <w:p>
      <w:pPr>
        <w:ind w:left="1620" w:hanging="180"/>
        <w:spacing w:after="0"/>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 Phillips</w:t>
      </w:r>
    </w:p>
    <w:p>
      <w:pPr>
        <w:spacing w:after="0" w:line="144" w:lineRule="exact"/>
        <w:rPr>
          <w:rFonts w:ascii="Times New Roman" w:cs="Times New Roman" w:eastAsia="Times New Roman" w:hAnsi="Times New Roman"/>
          <w:sz w:val="18"/>
          <w:szCs w:val="18"/>
          <w:color w:val="auto"/>
        </w:rPr>
      </w:pPr>
    </w:p>
    <w:p>
      <w:pPr>
        <w:ind w:left="1620" w:hanging="360"/>
        <w:spacing w:after="0" w:line="261" w:lineRule="auto"/>
        <w:tabs>
          <w:tab w:leader="none" w:pos="1620" w:val="left"/>
        </w:tabs>
        <w:numPr>
          <w:ilvl w:val="0"/>
          <w:numId w:val="18"/>
        </w:numPr>
        <w:rPr>
          <w:rFonts w:ascii="MS PGothic" w:cs="MS PGothic" w:eastAsia="MS PGothic" w:hAnsi="MS PGothic"/>
          <w:sz w:val="18"/>
          <w:szCs w:val="18"/>
          <w:color w:val="52A69B"/>
        </w:rPr>
      </w:pPr>
      <w:r>
        <w:rPr>
          <w:rFonts w:ascii="Times New Roman" w:cs="Times New Roman" w:eastAsia="Times New Roman" w:hAnsi="Times New Roman"/>
          <w:sz w:val="18"/>
          <w:szCs w:val="18"/>
          <w:color w:val="auto"/>
        </w:rPr>
        <w:t>All members are deemed independent and financially literate under the applicable rules and regulations of the SEC and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-619760</wp:posOffset>
            </wp:positionV>
            <wp:extent cx="24003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among other things:</w:t>
      </w:r>
    </w:p>
    <w:p>
      <w:pPr>
        <w:spacing w:after="0" w:line="144" w:lineRule="exact"/>
        <w:rPr>
          <w:sz w:val="20"/>
          <w:szCs w:val="20"/>
          <w:color w:val="auto"/>
        </w:rPr>
      </w:pPr>
    </w:p>
    <w:p>
      <w:pPr>
        <w:ind w:left="360" w:right="559" w:hanging="172"/>
        <w:spacing w:after="0" w:line="261"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to serve on our Board, including the incumbent directors to be nominated for reelection and nominees recommended by stockholders;</w:t>
      </w:r>
    </w:p>
    <w:p>
      <w:pPr>
        <w:spacing w:after="0" w:line="112" w:lineRule="exact"/>
        <w:rPr>
          <w:rFonts w:ascii="Times New Roman" w:cs="Times New Roman" w:eastAsia="Times New Roman" w:hAnsi="Times New Roman"/>
          <w:sz w:val="18"/>
          <w:szCs w:val="18"/>
          <w:color w:val="auto"/>
        </w:rPr>
      </w:pPr>
    </w:p>
    <w:p>
      <w:pPr>
        <w:ind w:left="360" w:right="519" w:hanging="172"/>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regarding the composition and chairmanship of the committees of our Board;</w:t>
      </w:r>
    </w:p>
    <w:p>
      <w:pPr>
        <w:spacing w:after="0" w:line="94" w:lineRule="exact"/>
        <w:rPr>
          <w:rFonts w:ascii="Times New Roman" w:cs="Times New Roman" w:eastAsia="Times New Roman" w:hAnsi="Times New Roman"/>
          <w:sz w:val="18"/>
          <w:szCs w:val="18"/>
          <w:color w:val="auto"/>
        </w:rPr>
      </w:pPr>
    </w:p>
    <w:p>
      <w:pPr>
        <w:ind w:left="360" w:right="519" w:hanging="172"/>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corporate succession plans for our Chief Executive Officer and other executive officers;</w:t>
      </w:r>
    </w:p>
    <w:p>
      <w:pPr>
        <w:spacing w:after="0" w:line="108" w:lineRule="exact"/>
        <w:rPr>
          <w:rFonts w:ascii="Times New Roman" w:cs="Times New Roman" w:eastAsia="Times New Roman" w:hAnsi="Times New Roman"/>
          <w:sz w:val="18"/>
          <w:szCs w:val="18"/>
          <w:color w:val="auto"/>
        </w:rPr>
      </w:pPr>
    </w:p>
    <w:p>
      <w:pPr>
        <w:ind w:left="360" w:right="459" w:hanging="172"/>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continuing education of our Board and orientation of new directors;</w:t>
      </w:r>
    </w:p>
    <w:p>
      <w:pPr>
        <w:spacing w:after="0" w:line="94" w:lineRule="exact"/>
        <w:rPr>
          <w:rFonts w:ascii="Times New Roman" w:cs="Times New Roman" w:eastAsia="Times New Roman" w:hAnsi="Times New Roman"/>
          <w:sz w:val="18"/>
          <w:szCs w:val="18"/>
          <w:color w:val="auto"/>
        </w:rPr>
      </w:pPr>
    </w:p>
    <w:p>
      <w:pPr>
        <w:jc w:val="both"/>
        <w:ind w:left="360" w:right="639" w:hanging="172"/>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 and</w:t>
      </w:r>
    </w:p>
    <w:p>
      <w:pPr>
        <w:spacing w:after="0" w:line="94" w:lineRule="exact"/>
        <w:rPr>
          <w:rFonts w:ascii="Times New Roman" w:cs="Times New Roman" w:eastAsia="Times New Roman" w:hAnsi="Times New Roman"/>
          <w:sz w:val="18"/>
          <w:szCs w:val="18"/>
          <w:color w:val="auto"/>
        </w:rPr>
      </w:pPr>
    </w:p>
    <w:p>
      <w:pPr>
        <w:ind w:left="360" w:right="719" w:hanging="172"/>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 and management.</w:t>
      </w:r>
    </w:p>
    <w:p>
      <w:pPr>
        <w:spacing w:after="0" w:line="200" w:lineRule="exact"/>
        <w:rPr>
          <w:sz w:val="20"/>
          <w:szCs w:val="20"/>
          <w:color w:val="auto"/>
        </w:rPr>
      </w:pPr>
    </w:p>
    <w:p>
      <w:pPr>
        <w:sectPr>
          <w:pgSz w:w="11900" w:h="16838" w:orient="portrait"/>
          <w:cols w:equalWidth="0" w:num="2">
            <w:col w:w="4780" w:space="360"/>
            <w:col w:w="47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299"/>
        <w:spacing w:after="0"/>
        <w:rPr>
          <w:sz w:val="20"/>
          <w:szCs w:val="20"/>
          <w:color w:val="auto"/>
        </w:rPr>
      </w:pPr>
      <w:r>
        <w:rPr>
          <w:rFonts w:ascii="Times New Roman" w:cs="Times New Roman" w:eastAsia="Times New Roman" w:hAnsi="Times New Roman"/>
          <w:sz w:val="14"/>
          <w:szCs w:val="14"/>
          <w:b w:val="1"/>
          <w:bCs w:val="1"/>
          <w:color w:val="5B66E5"/>
        </w:rPr>
        <w:t>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67945</wp:posOffset>
            </wp:positionV>
            <wp:extent cx="5212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Chair</w:t>
      </w:r>
      <w:r>
        <w:rPr>
          <w:rFonts w:ascii="Times New Roman" w:cs="Times New Roman" w:eastAsia="Times New Roman" w:hAnsi="Times New Roman"/>
          <w:sz w:val="18"/>
          <w:szCs w:val="18"/>
          <w:color w:val="52A69B"/>
        </w:rPr>
        <w:t>:</w:t>
      </w:r>
      <w:r>
        <w:rPr>
          <w:rFonts w:ascii="Times New Roman" w:cs="Times New Roman" w:eastAsia="Times New Roman" w:hAnsi="Times New Roman"/>
          <w:sz w:val="18"/>
          <w:szCs w:val="18"/>
          <w:b w:val="1"/>
          <w:bCs w:val="1"/>
          <w:color w:val="52A69B"/>
        </w:rPr>
        <w:t xml:space="preserve"> </w:t>
      </w:r>
      <w:r>
        <w:rPr>
          <w:rFonts w:ascii="Times New Roman" w:cs="Times New Roman" w:eastAsia="Times New Roman" w:hAnsi="Times New Roman"/>
          <w:sz w:val="18"/>
          <w:szCs w:val="18"/>
          <w:color w:val="000000"/>
        </w:rPr>
        <w:t>Beth Seidenberg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Additional Committee Members</w:t>
      </w:r>
      <w:r>
        <w:rPr>
          <w:rFonts w:ascii="Times New Roman" w:cs="Times New Roman" w:eastAsia="Times New Roman" w:hAnsi="Times New Roman"/>
          <w:sz w:val="18"/>
          <w:szCs w:val="18"/>
          <w:color w:val="52A69B"/>
        </w:rPr>
        <w:t>:</w:t>
      </w:r>
    </w:p>
    <w:p>
      <w:pPr>
        <w:spacing w:after="0" w:line="148" w:lineRule="exact"/>
        <w:rPr>
          <w:sz w:val="20"/>
          <w:szCs w:val="20"/>
          <w:color w:val="auto"/>
        </w:rPr>
      </w:pPr>
    </w:p>
    <w:p>
      <w:pPr>
        <w:ind w:left="1620" w:hanging="180"/>
        <w:spacing w:after="0"/>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P. Walbert</w:t>
      </w:r>
    </w:p>
    <w:p>
      <w:pPr>
        <w:spacing w:after="0" w:line="117" w:lineRule="exact"/>
        <w:rPr>
          <w:rFonts w:ascii="Times New Roman" w:cs="Times New Roman" w:eastAsia="Times New Roman" w:hAnsi="Times New Roman"/>
          <w:sz w:val="18"/>
          <w:szCs w:val="18"/>
          <w:color w:val="auto"/>
        </w:rPr>
      </w:pPr>
    </w:p>
    <w:p>
      <w:pPr>
        <w:ind w:left="1620" w:hanging="180"/>
        <w:spacing w:after="0"/>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 Phillips</w:t>
      </w:r>
    </w:p>
    <w:p>
      <w:pPr>
        <w:spacing w:after="0" w:line="144" w:lineRule="exact"/>
        <w:rPr>
          <w:rFonts w:ascii="Times New Roman" w:cs="Times New Roman" w:eastAsia="Times New Roman" w:hAnsi="Times New Roman"/>
          <w:sz w:val="18"/>
          <w:szCs w:val="18"/>
          <w:color w:val="auto"/>
        </w:rPr>
      </w:pPr>
    </w:p>
    <w:p>
      <w:pPr>
        <w:ind w:left="1620" w:right="60" w:hanging="360"/>
        <w:spacing w:after="0" w:line="261" w:lineRule="auto"/>
        <w:tabs>
          <w:tab w:leader="none" w:pos="1620" w:val="left"/>
        </w:tabs>
        <w:numPr>
          <w:ilvl w:val="0"/>
          <w:numId w:val="20"/>
        </w:numPr>
        <w:rPr>
          <w:rFonts w:ascii="MS PGothic" w:cs="MS PGothic" w:eastAsia="MS PGothic" w:hAnsi="MS PGothic"/>
          <w:sz w:val="18"/>
          <w:szCs w:val="18"/>
          <w:color w:val="52A69B"/>
        </w:rPr>
      </w:pPr>
      <w:r>
        <w:rPr>
          <w:rFonts w:ascii="Times New Roman" w:cs="Times New Roman" w:eastAsia="Times New Roman" w:hAnsi="Times New Roman"/>
          <w:sz w:val="18"/>
          <w:szCs w:val="18"/>
          <w:color w:val="auto"/>
        </w:rPr>
        <w:t>All members are deemed independent and financially literate under the applicable rules and regulations of the SEC and Nasdaq.</w:t>
      </w:r>
    </w:p>
    <w:p>
      <w:pPr>
        <w:spacing w:after="0" w:line="112" w:lineRule="exact"/>
        <w:rPr>
          <w:rFonts w:ascii="MS PGothic" w:cs="MS PGothic" w:eastAsia="MS PGothic" w:hAnsi="MS PGothic"/>
          <w:sz w:val="18"/>
          <w:szCs w:val="18"/>
          <w:color w:val="52A69B"/>
        </w:rPr>
      </w:pPr>
    </w:p>
    <w:p>
      <w:pPr>
        <w:ind w:left="1620" w:hanging="360"/>
        <w:spacing w:after="0" w:line="282" w:lineRule="auto"/>
        <w:tabs>
          <w:tab w:leader="none" w:pos="1620" w:val="left"/>
        </w:tabs>
        <w:numPr>
          <w:ilvl w:val="0"/>
          <w:numId w:val="20"/>
        </w:numPr>
        <w:rPr>
          <w:rFonts w:ascii="MS PGothic" w:cs="MS PGothic" w:eastAsia="MS PGothic" w:hAnsi="MS PGothic"/>
          <w:sz w:val="18"/>
          <w:szCs w:val="18"/>
          <w:color w:val="52A69B"/>
        </w:rPr>
      </w:pPr>
      <w:r>
        <w:rPr>
          <w:rFonts w:ascii="Times New Roman" w:cs="Times New Roman" w:eastAsia="Times New Roman" w:hAnsi="Times New Roman"/>
          <w:sz w:val="18"/>
          <w:szCs w:val="18"/>
          <w:color w:val="auto"/>
        </w:rPr>
        <w:t>All members are nonemployee directors as defined by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-999490</wp:posOffset>
            </wp:positionV>
            <wp:extent cx="240030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COMPENSATION CONSULTANT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among other things:</w:t>
      </w:r>
    </w:p>
    <w:p>
      <w:pPr>
        <w:spacing w:after="0" w:line="144" w:lineRule="exact"/>
        <w:rPr>
          <w:sz w:val="20"/>
          <w:szCs w:val="20"/>
          <w:color w:val="auto"/>
        </w:rPr>
      </w:pPr>
    </w:p>
    <w:p>
      <w:pPr>
        <w:ind w:left="360" w:right="799" w:hanging="172"/>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paid to our directors;</w:t>
      </w:r>
    </w:p>
    <w:p>
      <w:pPr>
        <w:spacing w:after="0" w:line="94" w:lineRule="exact"/>
        <w:rPr>
          <w:rFonts w:ascii="Times New Roman" w:cs="Times New Roman" w:eastAsia="Times New Roman" w:hAnsi="Times New Roman"/>
          <w:sz w:val="18"/>
          <w:szCs w:val="18"/>
          <w:color w:val="auto"/>
        </w:rPr>
      </w:pPr>
    </w:p>
    <w:p>
      <w:pPr>
        <w:ind w:left="360" w:right="419" w:hanging="172"/>
        <w:spacing w:after="0" w:line="258"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 and recommending to our Board compensation arrangements for our Chief Executive Officer;</w:t>
      </w:r>
    </w:p>
    <w:p>
      <w:pPr>
        <w:spacing w:after="0" w:line="102" w:lineRule="exact"/>
        <w:rPr>
          <w:rFonts w:ascii="Times New Roman" w:cs="Times New Roman" w:eastAsia="Times New Roman" w:hAnsi="Times New Roman"/>
          <w:sz w:val="18"/>
          <w:szCs w:val="18"/>
          <w:color w:val="auto"/>
        </w:rPr>
      </w:pPr>
    </w:p>
    <w:p>
      <w:pPr>
        <w:ind w:left="360" w:right="519" w:hanging="172"/>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94" w:lineRule="exact"/>
        <w:rPr>
          <w:rFonts w:ascii="Times New Roman" w:cs="Times New Roman" w:eastAsia="Times New Roman" w:hAnsi="Times New Roman"/>
          <w:sz w:val="18"/>
          <w:szCs w:val="18"/>
          <w:color w:val="auto"/>
        </w:rPr>
      </w:pPr>
    </w:p>
    <w:p>
      <w:pPr>
        <w:ind w:left="360" w:right="459" w:hanging="172"/>
        <w:spacing w:after="0" w:line="255"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compensation recovery plans, profit sharing plans, bonus plans, change-of-control protections and any other compensatory arrangements for our executive officers and other senior management; and</w:t>
      </w:r>
    </w:p>
    <w:p>
      <w:pPr>
        <w:spacing w:after="0" w:line="121" w:lineRule="exact"/>
        <w:rPr>
          <w:rFonts w:ascii="Times New Roman" w:cs="Times New Roman" w:eastAsia="Times New Roman" w:hAnsi="Times New Roman"/>
          <w:sz w:val="18"/>
          <w:szCs w:val="18"/>
          <w:color w:val="auto"/>
        </w:rPr>
      </w:pPr>
    </w:p>
    <w:p>
      <w:pPr>
        <w:ind w:left="360" w:right="419" w:hanging="172"/>
        <w:spacing w:after="0" w:line="266"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608" w:lineRule="exact"/>
        <w:rPr>
          <w:sz w:val="20"/>
          <w:szCs w:val="20"/>
          <w:color w:val="auto"/>
        </w:rPr>
      </w:pPr>
    </w:p>
    <w:p>
      <w:pPr>
        <w:sectPr>
          <w:pgSz w:w="11900" w:h="16838" w:orient="portrait"/>
          <w:cols w:equalWidth="0" w:num="2">
            <w:col w:w="4840" w:space="300"/>
            <w:col w:w="4739"/>
          </w:cols>
          <w:pgMar w:left="580" w:top="97" w:right="1440" w:bottom="1440" w:gutter="0" w:footer="0" w:header="0"/>
          <w:type w:val="continuous"/>
        </w:sect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Aon plc, or Aon, serves as our independent compensation consultant. When requested, Aon consultants attend meetings of our Compensation Committee, including executive sessions in which executive compensation- related matters are discussed without the presence of our management. Aon reports to our Compensation Committee and not to our management, although Aon meets with our management for purposes of gathering information for its analyses and recommendations.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Compensation Committee assessed the independence of Aon from management, taking into consideration relevant factors, including the absence of other services provided to our Company by Aon, the amount of fees our Company paid to Aon as a percentage of Aon’s total revenue, the policies and procedures of Aon that are designed to prevent conflicts of interest, any business or personal relationship of the individual compensation advisors employed by Aon with any executive officer of the Company, any business or personal relationship the individual compensation advisors employed by Aon have with any member of our Compensation Committee and any stock of our Company owned by Aon or the individual compensation advisors employed by Aon. On the basis of that assessment and taking into consideration the independence factors that are required to be considered under applicable stock exchange rules, our Compensation Committee determined that no relationships existed that would create a conflict of interest or that would compromise Aon’s independence, and that Aon is independent pursuant to the independence standards set forth in the Nasdaq listing standards promulgated pursuant to Section 10C of the Securities Exchange Act of 1934, or the Exchange Act.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one of our officers or employees. None of our officers currently serves, or has served during the last calendar year, as a member of the board or compensation committee of any company that has one or more executive officers serving as a member of our Board or Compensation Committee.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regularly connect, collaborate and communicate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128905</wp:posOffset>
            </wp:positionV>
            <wp:extent cx="5074920" cy="1705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7492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Connect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Collaborate</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Communicate</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goal is to communicate with our stockholders through various platforms, including via our website at www.sagimet.com, in print and in person at investor presentations or stockholder meetings. We view communication between our stockholders and the Board as a dialogue.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88900</wp:posOffset>
            </wp:positionV>
            <wp:extent cx="5212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B66E5"/>
        </w:rPr>
        <w:t>HOW TO</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5B66E5"/>
        </w:rPr>
        <w:t>COMMUNICATE WITH</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B66E5"/>
        </w:rPr>
        <w:t>OUR DIRECTORS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Sagimet Biosciences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 Bovet Road, Suite 303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 94402</w:t>
      </w:r>
    </w:p>
    <w:p>
      <w:pPr>
        <w:spacing w:after="0" w:line="99" w:lineRule="exact"/>
        <w:rPr>
          <w:sz w:val="20"/>
          <w:szCs w:val="20"/>
          <w:color w:val="auto"/>
        </w:rPr>
      </w:pPr>
    </w:p>
    <w:p>
      <w:pPr>
        <w:sectPr>
          <w:pgSz w:w="11900" w:h="16838" w:orient="portrait"/>
          <w:cols w:equalWidth="0" w:num="2">
            <w:col w:w="3180" w:space="460"/>
            <w:col w:w="6239"/>
          </w:cols>
          <w:pgMar w:left="580" w:top="97" w:right="1440" w:bottom="1440" w:gutter="0" w:footer="0" w:header="0"/>
          <w:type w:val="continuous"/>
        </w:sectPr>
      </w:pPr>
    </w:p>
    <w:p>
      <w:pPr>
        <w:ind w:left="3640"/>
        <w:spacing w:after="0"/>
        <w:rPr>
          <w:sz w:val="20"/>
          <w:szCs w:val="20"/>
          <w:color w:val="auto"/>
        </w:rPr>
      </w:pPr>
      <w:r>
        <w:rPr>
          <w:rFonts w:ascii="Times New Roman" w:cs="Times New Roman" w:eastAsia="Times New Roman" w:hAnsi="Times New Roman"/>
          <w:sz w:val="18"/>
          <w:szCs w:val="18"/>
          <w:color w:val="auto"/>
        </w:rPr>
        <w:t>By email:</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ir@sagimet.com</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Board has adopted a non-employee director compensation policy. The policy is designed to enable us to attract and retain, on a long-term basis, highly qualified non-employee directors. Under the policy, our non-employee directors are eligible to receive cash retainers (which will be payable quarterly in arrears and prorated for partial years of service) and equity awards as set forth below, provided that our non-employee directors may opt to receive their cash retainers in fully vested shares of our Series A common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p>
      <w:pPr>
        <w:spacing w:after="0" w:line="14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annual retainer for Board membership is $40,000 for general availability and participation in meetings and conference calls of our Board.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Retainer for Lead Independent Director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annual retainer for service as our Lead Independent Director is $25,000.</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70"/>
        </w:trPr>
        <w:tc>
          <w:tcPr>
            <w:tcW w:w="704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6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w w:val="92"/>
              </w:rPr>
              <w:t>15,000</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(other than Chairperson):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704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6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0"/>
        </w:trPr>
        <w:tc>
          <w:tcPr>
            <w:tcW w:w="704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6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r>
      <w:tr>
        <w:trPr>
          <w:trHeight w:val="28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84"/>
        </w:trPr>
        <w:tc>
          <w:tcPr>
            <w:tcW w:w="704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Chairperson of the Board:</w:t>
            </w:r>
          </w:p>
        </w:tc>
        <w:tc>
          <w:tcPr>
            <w:tcW w:w="6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w w:val="92"/>
              </w:rPr>
              <w:t>30,000</w:t>
            </w:r>
          </w:p>
        </w:tc>
      </w:tr>
      <w:tr>
        <w:trPr>
          <w:trHeight w:val="54"/>
        </w:trPr>
        <w:tc>
          <w:tcPr>
            <w:tcW w:w="7040" w:type="dxa"/>
            <w:vAlign w:val="bottom"/>
            <w:shd w:val="clear" w:color="auto" w:fill="DEE0F9"/>
          </w:tcPr>
          <w:p>
            <w:pPr>
              <w:spacing w:after="0"/>
              <w:rPr>
                <w:sz w:val="4"/>
                <w:szCs w:val="4"/>
                <w:color w:val="auto"/>
              </w:rPr>
            </w:pPr>
          </w:p>
        </w:tc>
        <w:tc>
          <w:tcPr>
            <w:tcW w:w="680" w:type="dxa"/>
            <w:vAlign w:val="bottom"/>
            <w:shd w:val="clear" w:color="auto" w:fill="DEE0F9"/>
          </w:tcPr>
          <w:p>
            <w:pPr>
              <w:spacing w:after="0"/>
              <w:rPr>
                <w:sz w:val="4"/>
                <w:szCs w:val="4"/>
                <w:color w:val="auto"/>
              </w:rPr>
            </w:pPr>
          </w:p>
        </w:tc>
        <w:tc>
          <w:tcPr>
            <w:tcW w:w="480" w:type="dxa"/>
            <w:vAlign w:val="bottom"/>
            <w:shd w:val="clear" w:color="auto" w:fill="DEE0F9"/>
          </w:tcPr>
          <w:p>
            <w:pPr>
              <w:spacing w:after="0"/>
              <w:rPr>
                <w:sz w:val="4"/>
                <w:szCs w:val="4"/>
                <w:color w:val="auto"/>
              </w:rPr>
            </w:pPr>
          </w:p>
        </w:tc>
      </w:tr>
    </w:tbl>
    <w:p>
      <w:pPr>
        <w:spacing w:after="0" w:line="13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the non-employee director compensation policy provides that, upon initial election or appointment to our Board, each non-employee director will be granted an equity award consisting of a stock option to purchase 46,700 shares of Series A Common Stock (up to a maximum grant date fair value of $230,100), or the Initial Grant. The Initial Grant will vest in equal monthly installments over three years following the grant date, subject to continued service through the applicable vesting date. Furthermore, on the date of each annual meeting of stockholders, each non-employee director will be granted a stock option to purchase 43,150 shares of Series A Common Stock (up to a maximum grant date fair value of $130,050), or the Annual Grant. The Annual Grant will vest in equal monthly installments over one year following the grant date, subject to continued service through the applicable vesting date. If a non-employee director joins our Board on a date other than the date of the annual meeting of stockholders, then such non-employee director will be granted a prorated portion of the Annual Grant corresponding to such partial year of service at the next annual meeting of stockholders. The Initial Grant and the Annual Grant are subject to full accelerated vesting upon the sale of the Company.</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 as a non-employee director in a calendar year period will not exceed $750,000 in the first calendar year such individual becomes a non-employee director and $500,000 in any other calendar year.</w:t>
      </w:r>
    </w:p>
    <w:p>
      <w:pPr>
        <w:spacing w:after="0" w:line="9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We reimburse all reasonable out-of-pocket expenses incurred by directors for their attendance at meetings of our Board or any committee thereof.</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62"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information for the fiscal year ended December 31, 2025 regarding the compensation of our non-employee directors.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DEE0F9"/>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DEE0F9"/>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20" w:type="dxa"/>
            <w:vAlign w:val="bottom"/>
            <w:tcBorders>
              <w:bottom w:val="single" w:sz="8" w:color="DEE0F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96"/>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DEE0F9"/>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77"/>
        </w:trPr>
        <w:tc>
          <w:tcPr>
            <w:tcW w:w="47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Elizabeth Grammer</w:t>
            </w:r>
            <w:r>
              <w:rPr>
                <w:rFonts w:ascii="Times New Roman" w:cs="Times New Roman" w:eastAsia="Times New Roman" w:hAnsi="Times New Roman"/>
                <w:sz w:val="23"/>
                <w:szCs w:val="23"/>
                <w:color w:val="auto"/>
                <w:vertAlign w:val="superscript"/>
              </w:rPr>
              <w:t>(2)</w:t>
            </w:r>
          </w:p>
        </w:tc>
        <w:tc>
          <w:tcPr>
            <w:tcW w:w="76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DEE0F9"/>
          </w:tcPr>
          <w:p>
            <w:pPr>
              <w:jc w:val="right"/>
              <w:ind w:right="220"/>
              <w:spacing w:after="0"/>
              <w:rPr>
                <w:sz w:val="20"/>
                <w:szCs w:val="20"/>
                <w:color w:val="auto"/>
              </w:rPr>
            </w:pPr>
            <w:r>
              <w:rPr>
                <w:rFonts w:ascii="Times New Roman" w:cs="Times New Roman" w:eastAsia="Times New Roman" w:hAnsi="Times New Roman"/>
                <w:sz w:val="18"/>
                <w:szCs w:val="18"/>
                <w:color w:val="auto"/>
                <w:w w:val="99"/>
              </w:rPr>
              <w:t>​129,864</w:t>
            </w:r>
          </w:p>
        </w:tc>
        <w:tc>
          <w:tcPr>
            <w:tcW w:w="220" w:type="dxa"/>
            <w:vAlign w:val="bottom"/>
            <w:shd w:val="clear" w:color="auto" w:fill="DEE0F9"/>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E0F9"/>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​179,864</w:t>
            </w:r>
          </w:p>
        </w:tc>
      </w:tr>
      <w:tr>
        <w:trPr>
          <w:trHeight w:val="28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Hoelscher</w:t>
            </w:r>
            <w:r>
              <w:rPr>
                <w:rFonts w:ascii="Times New Roman" w:cs="Times New Roman" w:eastAsia="Times New Roman" w:hAnsi="Times New Roman"/>
                <w:sz w:val="23"/>
                <w:szCs w:val="23"/>
                <w:color w:val="auto"/>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​129,864</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​184,864</w:t>
            </w:r>
          </w:p>
        </w:tc>
      </w:tr>
      <w:tr>
        <w:trPr>
          <w:trHeight w:val="283"/>
        </w:trPr>
        <w:tc>
          <w:tcPr>
            <w:tcW w:w="47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Beth Seidenberg, M.D.</w:t>
            </w:r>
            <w:r>
              <w:rPr>
                <w:rFonts w:ascii="Times New Roman" w:cs="Times New Roman" w:eastAsia="Times New Roman" w:hAnsi="Times New Roman"/>
                <w:sz w:val="23"/>
                <w:szCs w:val="23"/>
                <w:color w:val="auto"/>
                <w:vertAlign w:val="superscript"/>
              </w:rPr>
              <w:t>(4)</w:t>
            </w:r>
          </w:p>
        </w:tc>
        <w:tc>
          <w:tcPr>
            <w:tcW w:w="76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​66,331</w:t>
            </w:r>
          </w:p>
        </w:tc>
        <w:tc>
          <w:tcPr>
            <w:tcW w:w="2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DEE0F9"/>
          </w:tcPr>
          <w:p>
            <w:pPr>
              <w:jc w:val="right"/>
              <w:ind w:right="220"/>
              <w:spacing w:after="0"/>
              <w:rPr>
                <w:sz w:val="20"/>
                <w:szCs w:val="20"/>
                <w:color w:val="auto"/>
              </w:rPr>
            </w:pPr>
            <w:r>
              <w:rPr>
                <w:rFonts w:ascii="Times New Roman" w:cs="Times New Roman" w:eastAsia="Times New Roman" w:hAnsi="Times New Roman"/>
                <w:sz w:val="18"/>
                <w:szCs w:val="18"/>
                <w:color w:val="auto"/>
                <w:w w:val="99"/>
              </w:rPr>
              <w:t>​129,864</w:t>
            </w:r>
          </w:p>
        </w:tc>
        <w:tc>
          <w:tcPr>
            <w:tcW w:w="820" w:type="dxa"/>
            <w:vAlign w:val="bottom"/>
            <w:gridSpan w:val="2"/>
            <w:shd w:val="clear" w:color="auto" w:fill="DEE0F9"/>
          </w:tcPr>
          <w:p>
            <w:pPr>
              <w:jc w:val="right"/>
              <w:ind w:right="36"/>
              <w:spacing w:after="0"/>
              <w:rPr>
                <w:sz w:val="20"/>
                <w:szCs w:val="20"/>
                <w:color w:val="auto"/>
              </w:rPr>
            </w:pPr>
            <w:r>
              <w:rPr>
                <w:rFonts w:ascii="Times New Roman" w:cs="Times New Roman" w:eastAsia="Times New Roman" w:hAnsi="Times New Roman"/>
                <w:sz w:val="18"/>
                <w:szCs w:val="18"/>
                <w:color w:val="auto"/>
              </w:rPr>
              <w:t>​120,083</w:t>
            </w:r>
          </w:p>
        </w:tc>
        <w:tc>
          <w:tcPr>
            <w:tcW w:w="240" w:type="dxa"/>
            <w:vAlign w:val="bottom"/>
            <w:gridSpan w:val="2"/>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​316,278</w:t>
            </w:r>
          </w:p>
        </w:tc>
      </w:tr>
      <w:tr>
        <w:trPr>
          <w:trHeight w:val="28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Phillips, M.D.</w:t>
            </w:r>
            <w:r>
              <w:rPr>
                <w:rFonts w:ascii="Times New Roman" w:cs="Times New Roman" w:eastAsia="Times New Roman" w:hAnsi="Times New Roman"/>
                <w:sz w:val="23"/>
                <w:szCs w:val="23"/>
                <w:color w:val="auto"/>
                <w:vertAlign w:val="superscript"/>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​47,306</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​109,803</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​157,109</w:t>
            </w:r>
          </w:p>
        </w:tc>
      </w:tr>
      <w:tr>
        <w:trPr>
          <w:trHeight w:val="283"/>
        </w:trPr>
        <w:tc>
          <w:tcPr>
            <w:tcW w:w="47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Jennifer Jarrett</w:t>
            </w:r>
            <w:r>
              <w:rPr>
                <w:rFonts w:ascii="Times New Roman" w:cs="Times New Roman" w:eastAsia="Times New Roman" w:hAnsi="Times New Roman"/>
                <w:sz w:val="23"/>
                <w:szCs w:val="23"/>
                <w:color w:val="auto"/>
                <w:vertAlign w:val="superscript"/>
              </w:rPr>
              <w:t>(6)</w:t>
            </w:r>
          </w:p>
        </w:tc>
        <w:tc>
          <w:tcPr>
            <w:tcW w:w="76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DEE0F9"/>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​109,803</w:t>
            </w:r>
          </w:p>
        </w:tc>
        <w:tc>
          <w:tcPr>
            <w:tcW w:w="220" w:type="dxa"/>
            <w:vAlign w:val="bottom"/>
            <w:shd w:val="clear" w:color="auto" w:fill="DEE0F9"/>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E0F9"/>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​157,303</w:t>
            </w:r>
          </w:p>
        </w:tc>
      </w:tr>
      <w:tr>
        <w:trPr>
          <w:trHeight w:val="28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P. Walbert</w:t>
            </w:r>
            <w:r>
              <w:rPr>
                <w:rFonts w:ascii="Times New Roman" w:cs="Times New Roman" w:eastAsia="Times New Roman" w:hAnsi="Times New Roman"/>
                <w:sz w:val="23"/>
                <w:szCs w:val="23"/>
                <w:color w:val="auto"/>
                <w:vertAlign w:val="superscript"/>
              </w:rPr>
              <w:t>(7)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​129,864</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​182,364</w:t>
            </w:r>
          </w:p>
        </w:tc>
      </w:tr>
      <w:tr>
        <w:trPr>
          <w:trHeight w:val="283"/>
        </w:trPr>
        <w:tc>
          <w:tcPr>
            <w:tcW w:w="47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George Kemble, Ph.D.</w:t>
            </w:r>
            <w:r>
              <w:rPr>
                <w:rFonts w:ascii="Times New Roman" w:cs="Times New Roman" w:eastAsia="Times New Roman" w:hAnsi="Times New Roman"/>
                <w:sz w:val="23"/>
                <w:szCs w:val="23"/>
                <w:color w:val="auto"/>
                <w:vertAlign w:val="superscript"/>
              </w:rPr>
              <w:t>(8)</w:t>
            </w:r>
          </w:p>
        </w:tc>
        <w:tc>
          <w:tcPr>
            <w:tcW w:w="76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​45,726</w:t>
            </w:r>
          </w:p>
        </w:tc>
        <w:tc>
          <w:tcPr>
            <w:tcW w:w="2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DEE0F9"/>
          </w:tcPr>
          <w:p>
            <w:pPr>
              <w:jc w:val="right"/>
              <w:ind w:right="220"/>
              <w:spacing w:after="0"/>
              <w:rPr>
                <w:sz w:val="20"/>
                <w:szCs w:val="20"/>
                <w:color w:val="auto"/>
              </w:rPr>
            </w:pPr>
            <w:r>
              <w:rPr>
                <w:rFonts w:ascii="Times New Roman" w:cs="Times New Roman" w:eastAsia="Times New Roman" w:hAnsi="Times New Roman"/>
                <w:sz w:val="18"/>
                <w:szCs w:val="18"/>
                <w:color w:val="auto"/>
                <w:w w:val="99"/>
              </w:rPr>
              <w:t>​129,864</w:t>
            </w:r>
          </w:p>
        </w:tc>
        <w:tc>
          <w:tcPr>
            <w:tcW w:w="220" w:type="dxa"/>
            <w:vAlign w:val="bottom"/>
            <w:shd w:val="clear" w:color="auto" w:fill="DEE0F9"/>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E0F9"/>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​175,590</w:t>
            </w:r>
          </w:p>
        </w:tc>
      </w:tr>
      <w:tr>
        <w:trPr>
          <w:trHeight w:val="325"/>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Merdad Parsey, M.D., Ph.D.</w:t>
            </w:r>
            <w:r>
              <w:rPr>
                <w:rFonts w:ascii="Times New Roman" w:cs="Times New Roman" w:eastAsia="Times New Roman" w:hAnsi="Times New Roman"/>
                <w:sz w:val="23"/>
                <w:szCs w:val="23"/>
                <w:color w:val="auto"/>
                <w:vertAlign w:val="superscript"/>
              </w:rPr>
              <w:t>(9)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​21,863</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21,863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-1474470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-1474470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-1474470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-1474470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1" w:lineRule="exact"/>
        <w:rPr>
          <w:sz w:val="20"/>
          <w:szCs w:val="20"/>
          <w:color w:val="auto"/>
        </w:rPr>
      </w:pPr>
    </w:p>
    <w:p>
      <w:pPr>
        <w:ind w:left="1620" w:right="459" w:hanging="360"/>
        <w:spacing w:after="0" w:line="255"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do not reflect dollar amounts actually received by our directors. Instead, these amounts reflect the aggregate grant date fair value of each stock option granted in 2025, calculated in accordance with Topic 718 in the Financial Accounting Standards Board’s Accounting Standards Codification, or FASB ASC Topic 718. Such grant date fair values do not take into account any estimated forfeitures. The assumptions used in calculating the grant date fair values of the restricted stock units reported in this column are set forth in note 2 of our financial statements included in our 2025 Annual Report.</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Grammer held 133,242 unexercised stock options.</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Hoelscher held 114,543 unexercised stock options.</w:t>
      </w:r>
    </w:p>
    <w:p>
      <w:pPr>
        <w:spacing w:after="0" w:line="76" w:lineRule="exact"/>
        <w:rPr>
          <w:rFonts w:ascii="Times New Roman" w:cs="Times New Roman" w:eastAsia="Times New Roman" w:hAnsi="Times New Roman"/>
          <w:sz w:val="18"/>
          <w:szCs w:val="18"/>
          <w:color w:val="auto"/>
        </w:rPr>
      </w:pPr>
    </w:p>
    <w:p>
      <w:pPr>
        <w:ind w:left="1620" w:right="83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Seidenberg held 135,447 unexercised stock options. All other compensation includes a grant of stock options as compensation in accordance with the consulting agreement entered into between the Company and Dr. Seidenberg on June 6, 2025.</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Phillips held 141,163 unexercised stock options.</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Jarrett held 141,163 unexercised stock options.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Walbert held 114,543 unexercised stock options.</w:t>
      </w:r>
    </w:p>
    <w:p>
      <w:pPr>
        <w:spacing w:after="0" w:line="76"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Kemble transitioned from his executive officer position as Executive Chairman into the role of non-executive Chair of the Board in May 2026. As of December 31, 2025, Dr. Kemble held 994,011 unexercised stock options and 75,375 unvested restricted stock units.</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Parsey Served on our Boad until June 2025.</w:t>
      </w:r>
    </w:p>
    <w:p>
      <w:pPr>
        <w:spacing w:after="0" w:line="14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In addition, we have reimbursed and will continue to reimburse all of our non-employee directors for their reasonable out-of-pocket expenses incurred in attending Board and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Audit Committee works with our management in order to negotiate appropriate fees with KPMG and is ultimately responsible for approving those fees. Deloitte &amp; Touche LLP, or Deloitte, was our independent registered public accounting firm until August 18, 2025, and KPMG succeeded Deloitte as our independent registered public accounting firm as of that date. The following is a summary and description of fees for services provided by KPMG and Deloitte, in 2025 and 2024, respectively.</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Borders>
              <w:bottom w:val="single" w:sz="8" w:color="DEE0F9"/>
            </w:tcBorders>
          </w:tcPr>
          <w:p>
            <w:pPr>
              <w:spacing w:after="0"/>
              <w:rPr>
                <w:sz w:val="19"/>
                <w:szCs w:val="19"/>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4"/>
              </w:rPr>
              <w:t>2025 ($)</w:t>
            </w:r>
            <w:r>
              <w:rPr>
                <w:rFonts w:ascii="Times New Roman" w:cs="Times New Roman" w:eastAsia="Times New Roman" w:hAnsi="Times New Roman"/>
                <w:sz w:val="17"/>
                <w:szCs w:val="17"/>
                <w:b w:val="1"/>
                <w:bCs w:val="1"/>
                <w:color w:val="auto"/>
                <w:w w:val="94"/>
                <w:vertAlign w:val="superscript"/>
              </w:rPr>
              <w:t>(1)</w:t>
            </w:r>
          </w:p>
        </w:tc>
        <w:tc>
          <w:tcPr>
            <w:tcW w:w="220" w:type="dxa"/>
            <w:vAlign w:val="bottom"/>
            <w:tcBorders>
              <w:bottom w:val="single" w:sz="8" w:color="DEE0F9"/>
            </w:tcBorders>
          </w:tcPr>
          <w:p>
            <w:pPr>
              <w:spacing w:after="0"/>
              <w:rPr>
                <w:sz w:val="19"/>
                <w:szCs w:val="19"/>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4"/>
              </w:rPr>
              <w:t>2025 ($)</w:t>
            </w:r>
            <w:r>
              <w:rPr>
                <w:rFonts w:ascii="Times New Roman" w:cs="Times New Roman" w:eastAsia="Times New Roman" w:hAnsi="Times New Roman"/>
                <w:sz w:val="17"/>
                <w:szCs w:val="17"/>
                <w:b w:val="1"/>
                <w:bCs w:val="1"/>
                <w:color w:val="auto"/>
                <w:w w:val="94"/>
                <w:vertAlign w:val="superscript"/>
              </w:rPr>
              <w:t>(2)</w:t>
            </w:r>
          </w:p>
        </w:tc>
        <w:tc>
          <w:tcPr>
            <w:tcW w:w="220" w:type="dxa"/>
            <w:vAlign w:val="bottom"/>
            <w:tcBorders>
              <w:bottom w:val="single" w:sz="8" w:color="DEE0F9"/>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2024 ($)</w:t>
            </w:r>
            <w:r>
              <w:rPr>
                <w:rFonts w:ascii="Times New Roman" w:cs="Times New Roman" w:eastAsia="Times New Roman" w:hAnsi="Times New Roman"/>
                <w:sz w:val="17"/>
                <w:szCs w:val="17"/>
                <w:b w:val="1"/>
                <w:bCs w:val="1"/>
                <w:color w:val="auto"/>
                <w:w w:val="91"/>
                <w:vertAlign w:val="superscript"/>
              </w:rPr>
              <w:t>(3)</w:t>
            </w:r>
          </w:p>
        </w:tc>
      </w:tr>
      <w:tr>
        <w:trPr>
          <w:trHeight w:val="250"/>
        </w:trPr>
        <w:tc>
          <w:tcPr>
            <w:tcW w:w="57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Audit Fees</w:t>
            </w:r>
          </w:p>
        </w:tc>
        <w:tc>
          <w:tcPr>
            <w:tcW w:w="860" w:type="dxa"/>
            <w:vAlign w:val="bottom"/>
            <w:gridSpan w:val="3"/>
            <w:shd w:val="clear" w:color="auto" w:fill="DEE0F9"/>
          </w:tcPr>
          <w:p>
            <w:pPr>
              <w:jc w:val="right"/>
              <w:ind w:right="180"/>
              <w:spacing w:after="0"/>
              <w:rPr>
                <w:sz w:val="20"/>
                <w:szCs w:val="20"/>
                <w:color w:val="auto"/>
              </w:rPr>
            </w:pPr>
            <w:r>
              <w:rPr>
                <w:rFonts w:ascii="Times New Roman" w:cs="Times New Roman" w:eastAsia="Times New Roman" w:hAnsi="Times New Roman"/>
                <w:sz w:val="18"/>
                <w:szCs w:val="18"/>
                <w:color w:val="auto"/>
              </w:rPr>
              <w:t>​529,153 ​</w:t>
            </w:r>
          </w:p>
        </w:tc>
        <w:tc>
          <w:tcPr>
            <w:tcW w:w="860" w:type="dxa"/>
            <w:vAlign w:val="bottom"/>
            <w:gridSpan w:val="3"/>
            <w:shd w:val="clear" w:color="auto" w:fill="DEE0F9"/>
          </w:tcPr>
          <w:p>
            <w:pPr>
              <w:jc w:val="right"/>
              <w:ind w:right="180"/>
              <w:spacing w:after="0"/>
              <w:rPr>
                <w:sz w:val="20"/>
                <w:szCs w:val="20"/>
                <w:color w:val="auto"/>
              </w:rPr>
            </w:pPr>
            <w:r>
              <w:rPr>
                <w:rFonts w:ascii="Times New Roman" w:cs="Times New Roman" w:eastAsia="Times New Roman" w:hAnsi="Times New Roman"/>
                <w:sz w:val="18"/>
                <w:szCs w:val="18"/>
                <w:color w:val="auto"/>
              </w:rPr>
              <w:t>​346,752 ​</w:t>
            </w:r>
          </w:p>
        </w:tc>
        <w:tc>
          <w:tcPr>
            <w:tcW w:w="740" w:type="dxa"/>
            <w:vAlign w:val="bottom"/>
            <w:gridSpan w:val="2"/>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w w:val="99"/>
              </w:rPr>
              <w:t>​1,173,300</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Tax Fees</w:t>
            </w:r>
          </w:p>
        </w:tc>
        <w:tc>
          <w:tcPr>
            <w:tcW w:w="260" w:type="dxa"/>
            <w:vAlign w:val="bottom"/>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DEE0F9"/>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DEE0F9"/>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7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7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3"/>
            <w:shd w:val="clear" w:color="auto" w:fill="DEE0F9"/>
          </w:tcPr>
          <w:p>
            <w:pPr>
              <w:jc w:val="right"/>
              <w:ind w:right="18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529,153 </w:t>
            </w:r>
            <w:r>
              <w:rPr>
                <w:rFonts w:ascii="Times New Roman" w:cs="Times New Roman" w:eastAsia="Times New Roman" w:hAnsi="Times New Roman"/>
                <w:sz w:val="35"/>
                <w:szCs w:val="35"/>
                <w:color w:val="auto"/>
                <w:vertAlign w:val="subscript"/>
              </w:rPr>
              <w:t>​</w:t>
            </w:r>
          </w:p>
        </w:tc>
        <w:tc>
          <w:tcPr>
            <w:tcW w:w="860" w:type="dxa"/>
            <w:vAlign w:val="bottom"/>
            <w:gridSpan w:val="3"/>
            <w:shd w:val="clear" w:color="auto" w:fill="DEE0F9"/>
          </w:tcPr>
          <w:p>
            <w:pPr>
              <w:jc w:val="right"/>
              <w:ind w:right="18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346,752 </w:t>
            </w:r>
            <w:r>
              <w:rPr>
                <w:rFonts w:ascii="Times New Roman" w:cs="Times New Roman" w:eastAsia="Times New Roman" w:hAnsi="Times New Roman"/>
                <w:sz w:val="35"/>
                <w:szCs w:val="35"/>
                <w:color w:val="auto"/>
                <w:vertAlign w:val="subscript"/>
              </w:rPr>
              <w:t>​</w:t>
            </w:r>
          </w:p>
        </w:tc>
        <w:tc>
          <w:tcPr>
            <w:tcW w:w="740" w:type="dxa"/>
            <w:vAlign w:val="bottom"/>
            <w:gridSpan w:val="2"/>
            <w:shd w:val="clear" w:color="auto" w:fill="DEE0F9"/>
          </w:tcPr>
          <w:p>
            <w:pPr>
              <w:jc w:val="right"/>
              <w:spacing w:after="0" w:line="32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1,184,100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-890905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-890905</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-890905</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professional services rendered by KPMG for fiscal year 2025.</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professional services rendered by Deloitte for fiscal year 2025.</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professional services rendered by Deloitte for fiscal year 2024.</w:t>
      </w:r>
    </w:p>
    <w:p>
      <w:pPr>
        <w:spacing w:after="0" w:line="140"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by KPMG and Deloitte for the year ended December 31, 2025 and by Deloitte for the year ended December 31, 2024. Also included are the fees related to our Registration Statements on Form S-1, Form S-3 (each with respect to Deloitte only), Form S-8 and for comfort letter procedures.</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“Audit Related Fees” </w:t>
      </w:r>
      <w:r>
        <w:rPr>
          <w:rFonts w:ascii="Times New Roman" w:cs="Times New Roman" w:eastAsia="Times New Roman" w:hAnsi="Times New Roman"/>
          <w:sz w:val="18"/>
          <w:szCs w:val="18"/>
          <w:color w:val="auto"/>
        </w:rPr>
        <w:t>represents the aggregate fees billed by KPMG and Deloitte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and to Deloitte for the year ended December 31, 2024 for assurance and related services that are reasonably related to the performance of the audit or review of our financial statements and are not reported under “Audit fees” above.</w:t>
      </w:r>
    </w:p>
    <w:p>
      <w:pPr>
        <w:spacing w:after="0" w:line="103" w:lineRule="exact"/>
        <w:rPr>
          <w:sz w:val="20"/>
          <w:szCs w:val="20"/>
          <w:color w:val="auto"/>
        </w:rPr>
      </w:pPr>
    </w:p>
    <w:p>
      <w:pPr>
        <w:ind w:left="1260" w:right="9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18"/>
          <w:szCs w:val="18"/>
          <w:color w:val="auto"/>
        </w:rPr>
        <w:t>” consists of fees billed by Deloitte for the year ended December 31, 2024 related to tax compliance, tax planning and tax advice.</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 audit services provided by the independent registered public accounting firm will be pre-approved by the Audit Committee.</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services provided by KPMG and Deloitte for the year ended December 31, 2025 and by Deloitte for the year ended December 31, 2024 were provided under engagements entered into in accordance with such pre-approval policies. These services may include audit services, audit- related services, tax services and other services. The Audit Committee considers whether the provision of each non-audit service is compatible with maintaining the independence of our independent registered public accounting firm.</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162"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with the SEC on August 18, 2025, or the Auditor 8-K, the Audit Committee of the Board approved (i) the appointment of KPMG as our independent registered public accounting firm for the fiscal year ending December 31, 2025 and related interim periods and, concurrently, (ii) the dismissal of Deloitte as the Company’s independent registered public accounting firm, effective immediately.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audit reports of Deloitte on the Company’s financial statements as of December 31, 2024 and December 31, 2023, did not contain an adverse opinion or a disclaimer of opinion, and were not qualified or modified as to uncertainty, audit scope, or accounting principles. Furthermore, during the two fiscal years ended December 31, 2024 and December 31, 2023, and the subsequent interim period through August 18, 2025, there were no disagreements with Deloitte on any matter of accounting principles or practices, financial statement disclosure, or auditing scope or procedure, which disagreements, if not resolved to the satisfaction of Deloitte, would have caused it to make a reference in connection with its opinion to the subject matter of the disagreement or reportable events as defined in Item 304(a)(1)(v) of Regulation S-K.</w:t>
      </w:r>
    </w:p>
    <w:p>
      <w:pPr>
        <w:spacing w:after="0" w:line="124"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During the two fiscal years ended December 31, 2024 and December 31, 2023, and the subsequent interim period through August 18, 2025, KPMG has not been engaged as either the principal accountant to audit the Company’s financial statements, or as an independent accountant to audit a significant subsidiary of the Company. During the two fiscal years, ended December 31, 2024 and December 31, 2023, and the subsequent interim period through August 18, 2025, neither the Company nor anyone on the Company’s behalf consulted KPMG regarding (i) the application of accounting principles to a specified transaction, either completed or proposed, or the type of audit opinion that might be rendered on the Company’s financial statements, and no written report or oral advice was provided to the Company by KPMG that KPMG concluded was an important factor considered by the Company in reaching a decision as to the accounting, auditing or financial reporting issue; or (ii) any matter that was either the subject of a disagreement within the meaning of Item 304(a)(1)(iv) of Regulation S-K, or a reportable event within the meaning of Item 304(a)(1)(v) of Regulation S-K.</w:t>
      </w:r>
    </w:p>
    <w:p>
      <w:pPr>
        <w:spacing w:after="0" w:line="34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provided Deloitte with a copy of the foregoing disclosures and received a letter from Deloitte addressed to the SEC, stating that it agreed with such disclosures. The letter was filed as an exhibit to the Auditor 8-K.</w:t>
      </w:r>
    </w:p>
    <w:p>
      <w:pPr>
        <w:spacing w:after="0" w:line="95"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 representative of KPMG will attend the Annual Meeting. Such representative will have an opportunity to make a statement, if he or she desires, and will be available to response to appropriate questions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is appointed by the Board to assist the Board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w:t>
      </w:r>
    </w:p>
    <w:p>
      <w:pPr>
        <w:spacing w:after="0" w:line="33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PCAOB and issuing a report thereon. The Audit Committee’s responsibility is to monitor and oversee these processes.</w:t>
      </w:r>
    </w:p>
    <w:p>
      <w:pPr>
        <w:spacing w:after="0" w:line="102"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reviewed and discussed with management and the independent registered public accounting firm the audited financial statements of the Company for the fiscal year ended December 31, 2025. The Audit Committee also discussed with the independent registered public accounting firm the matters required to be discussed by the PCAOB’s Auditing Standard No. 1301, Communication with Audit Committees.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24"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consolidated financial statements of the Company be included in the Company’s 2025 Annual Report. The information contained in this report shall not be deemed to be (1) “soliciting material,” ​</w:t>
      </w:r>
    </w:p>
    <w:p>
      <w:pPr>
        <w:spacing w:after="0" w:line="1" w:lineRule="exact"/>
        <w:rPr>
          <w:sz w:val="20"/>
          <w:szCs w:val="20"/>
          <w:color w:val="auto"/>
        </w:rPr>
      </w:pPr>
    </w:p>
    <w:p>
      <w:pPr>
        <w:ind w:left="1260" w:right="459"/>
        <w:spacing w:after="0" w:line="253" w:lineRule="auto"/>
        <w:tabs>
          <w:tab w:leader="none" w:pos="15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(3) subject to Regulations 14A or 14C of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THE AUDIT COMMITTEE OF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BOARD OF DIRECTORS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52A69B"/>
        </w:rPr>
        <w:t>SAGIMET BIOSCIENCES INC.</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 Hoelscher, Chair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Jennifer Jarrett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Timothy P. Walbert</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the date of this Proxy Statement: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DEE0F9"/>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Borders>
              <w:bottom w:val="single" w:sz="8" w:color="DEE0F9"/>
            </w:tcBorders>
          </w:tcPr>
          <w:p>
            <w:pPr>
              <w:spacing w:after="0"/>
              <w:rPr>
                <w:sz w:val="18"/>
                <w:szCs w:val="18"/>
                <w:color w:val="auto"/>
              </w:rPr>
            </w:pPr>
          </w:p>
        </w:tc>
        <w:tc>
          <w:tcPr>
            <w:tcW w:w="36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1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tc>
        <w:tc>
          <w:tcPr>
            <w:tcW w:w="240" w:type="dxa"/>
            <w:vAlign w:val="bottom"/>
            <w:shd w:val="clear" w:color="auto" w:fill="DEE0F9"/>
          </w:tcPr>
          <w:p>
            <w:pPr>
              <w:spacing w:after="0"/>
              <w:rPr>
                <w:sz w:val="18"/>
                <w:szCs w:val="18"/>
                <w:color w:val="auto"/>
              </w:rPr>
            </w:pPr>
          </w:p>
        </w:tc>
        <w:tc>
          <w:tcPr>
            <w:tcW w:w="220" w:type="dxa"/>
            <w:vAlign w:val="bottom"/>
            <w:shd w:val="clear" w:color="auto" w:fill="DEE0F9"/>
          </w:tcPr>
          <w:p>
            <w:pPr>
              <w:spacing w:after="0"/>
              <w:rPr>
                <w:sz w:val="18"/>
                <w:szCs w:val="18"/>
                <w:color w:val="auto"/>
              </w:rPr>
            </w:pPr>
          </w:p>
        </w:tc>
        <w:tc>
          <w:tcPr>
            <w:tcW w:w="3620" w:type="dxa"/>
            <w:vAlign w:val="bottom"/>
            <w:shd w:val="clear" w:color="auto" w:fill="DEE0F9"/>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Happel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40" w:type="dxa"/>
            <w:vAlign w:val="bottom"/>
          </w:tcPr>
          <w:p>
            <w:pPr>
              <w:spacing w:after="0"/>
              <w:rPr>
                <w:sz w:val="19"/>
                <w:szCs w:val="19"/>
                <w:color w:val="auto"/>
              </w:rPr>
            </w:pPr>
          </w:p>
        </w:tc>
      </w:tr>
      <w:tr>
        <w:trPr>
          <w:trHeight w:val="229"/>
        </w:trPr>
        <w:tc>
          <w:tcPr>
            <w:tcW w:w="41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Thierry Chauche</w:t>
            </w:r>
          </w:p>
        </w:tc>
        <w:tc>
          <w:tcPr>
            <w:tcW w:w="240" w:type="dxa"/>
            <w:vAlign w:val="bottom"/>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3840" w:type="dxa"/>
            <w:vAlign w:val="bottom"/>
            <w:gridSpan w:val="2"/>
            <w:shd w:val="clear" w:color="auto" w:fill="DEE0F9"/>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9"/>
                <w:szCs w:val="19"/>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Eduardo Bruno Martins, M.D., D.Phil.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Former Chief Medical Officer</w:t>
            </w:r>
          </w:p>
        </w:tc>
        <w:tc>
          <w:tcPr>
            <w:tcW w:w="40" w:type="dxa"/>
            <w:vAlign w:val="bottom"/>
          </w:tcPr>
          <w:p>
            <w:pPr>
              <w:spacing w:after="0"/>
              <w:rPr>
                <w:sz w:val="19"/>
                <w:szCs w:val="19"/>
                <w:color w:val="auto"/>
              </w:rPr>
            </w:pPr>
          </w:p>
        </w:tc>
      </w:tr>
      <w:tr>
        <w:trPr>
          <w:trHeight w:val="229"/>
        </w:trPr>
        <w:tc>
          <w:tcPr>
            <w:tcW w:w="412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Elizabeth Rozek, Esq.</w:t>
            </w:r>
          </w:p>
        </w:tc>
        <w:tc>
          <w:tcPr>
            <w:tcW w:w="240" w:type="dxa"/>
            <w:vAlign w:val="bottom"/>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3840" w:type="dxa"/>
            <w:vAlign w:val="bottom"/>
            <w:gridSpan w:val="2"/>
            <w:shd w:val="clear" w:color="auto" w:fill="DEE0F9"/>
          </w:tcPr>
          <w:p>
            <w:pPr>
              <w:ind w:left="220"/>
              <w:spacing w:after="0"/>
              <w:rPr>
                <w:sz w:val="20"/>
                <w:szCs w:val="20"/>
                <w:color w:val="auto"/>
              </w:rPr>
            </w:pPr>
            <w:r>
              <w:rPr>
                <w:rFonts w:ascii="Times New Roman" w:cs="Times New Roman" w:eastAsia="Times New Roman" w:hAnsi="Times New Roman"/>
                <w:sz w:val="18"/>
                <w:szCs w:val="18"/>
                <w:color w:val="auto"/>
              </w:rPr>
              <w:t>Chief Legal and Administrative Officer</w:t>
            </w:r>
          </w:p>
        </w:tc>
        <w:tc>
          <w:tcPr>
            <w:tcW w:w="40" w:type="dxa"/>
            <w:vAlign w:val="bottom"/>
          </w:tcPr>
          <w:p>
            <w:pPr>
              <w:spacing w:after="0"/>
              <w:rPr>
                <w:sz w:val="19"/>
                <w:szCs w:val="19"/>
                <w:color w:val="auto"/>
              </w:rPr>
            </w:pPr>
          </w:p>
        </w:tc>
      </w:tr>
      <w:tr>
        <w:trPr>
          <w:trHeight w:val="25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Andreas Grauer, M.D.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-890905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-890905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0" w:lineRule="exact"/>
        <w:rPr>
          <w:sz w:val="20"/>
          <w:szCs w:val="20"/>
          <w:color w:val="auto"/>
        </w:rPr>
      </w:pPr>
    </w:p>
    <w:p>
      <w:pPr>
        <w:ind w:left="1260" w:right="87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David Happel</w:t>
      </w:r>
      <w:r>
        <w:rPr>
          <w:rFonts w:ascii="Times New Roman" w:cs="Times New Roman" w:eastAsia="Times New Roman" w:hAnsi="Times New Roman"/>
          <w:sz w:val="18"/>
          <w:szCs w:val="18"/>
          <w:color w:val="auto"/>
        </w:rPr>
        <w:t> — For biographical information for Mr. Happel, see “Board of Directors —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Nominees.”</w:t>
      </w:r>
    </w:p>
    <w:p>
      <w:pPr>
        <w:spacing w:after="0" w:line="20" w:lineRule="exact"/>
        <w:rPr>
          <w:sz w:val="20"/>
          <w:szCs w:val="20"/>
          <w:color w:val="auto"/>
        </w:rPr>
      </w:pPr>
    </w:p>
    <w:p>
      <w:pPr>
        <w:ind w:left="1260" w:right="59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Eduardo Bruno Martins, M.D., D.Phil. </w:t>
      </w:r>
      <w:r>
        <w:rPr>
          <w:rFonts w:ascii="Times New Roman" w:cs="Times New Roman" w:eastAsia="Times New Roman" w:hAnsi="Times New Roman"/>
          <w:sz w:val="18"/>
          <w:szCs w:val="18"/>
          <w:color w:val="auto"/>
        </w:rPr>
        <w:t>served as our Chief Medical Officer from February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2026. In September 2017, Dr. Martins co-founded Bruno Martins Consulting LLC, a consulting firm that provides scientific advice and services to biotechnology and pharmaceutical companies. From</w:t>
      </w:r>
    </w:p>
    <w:p>
      <w:pPr>
        <w:spacing w:after="0" w:line="2" w:lineRule="exact"/>
        <w:rPr>
          <w:sz w:val="20"/>
          <w:szCs w:val="20"/>
          <w:color w:val="auto"/>
        </w:rPr>
      </w:pPr>
    </w:p>
    <w:p>
      <w:pPr>
        <w:ind w:left="1260" w:right="519"/>
        <w:spacing w:after="0" w:line="239" w:lineRule="auto"/>
        <w:rPr>
          <w:sz w:val="20"/>
          <w:szCs w:val="20"/>
          <w:color w:val="auto"/>
        </w:rPr>
      </w:pPr>
      <w:r>
        <w:rPr>
          <w:rFonts w:ascii="Times New Roman" w:cs="Times New Roman" w:eastAsia="Times New Roman" w:hAnsi="Times New Roman"/>
          <w:sz w:val="18"/>
          <w:szCs w:val="18"/>
          <w:color w:val="auto"/>
        </w:rPr>
        <w:t>May 2020 to December 2020, prior to joining us, he served as Vice President of Clinical Development at Abbvie Inc. Prior to that, from August 2018 to May 2020, he served as Vice President of Clinical Development — Liver Disease for Allergan, Inc. From November 2015 to August 2017, Dr. Martins served as Senior Vice President of Liver and Infectious Disease Drug Development at Eiger Biopharmaceuticals, Inc. From December 2010 to October 2015, he also served as Senior Director of Medical Affairs for Hepatitis at Gilead Sciences, Inc. Dr. Martins received his M.D. from the Universidade Federal do Rio de Janeiro in Rio de Janeiro, Brazil and his D.Phil. from the University of Oxford in Oxford, England.</w:t>
      </w:r>
    </w:p>
    <w:p>
      <w:pPr>
        <w:spacing w:after="0" w:line="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Thierry Chauche </w:t>
      </w:r>
      <w:r>
        <w:rPr>
          <w:rFonts w:ascii="Times New Roman" w:cs="Times New Roman" w:eastAsia="Times New Roman" w:hAnsi="Times New Roman"/>
          <w:sz w:val="18"/>
          <w:szCs w:val="18"/>
          <w:color w:val="auto"/>
        </w:rPr>
        <w:t>has served as our Chief Financial Officer since May 2024. Mr. Chauche has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years of financial and operational leadership experience in finance and healthcare companies. He previously served as the Chief Financial Officer of Provention Bio, Inc., from December 2021 until it was acquired by Sanofi S.A. in April 2023. From 2021 to 2021, Mr. Chauche served as the Vice President and Head of Strategic Financial Planning &amp; Analysis at Alexion Pharmaceuticals, Inc. Prior to this, Mr. Chauche served in roles of increasing responsibility at Intercept Pharmaceuticals, Inc. from 2017 to 2020, Novartis AG from 2007 to 2017, and Rothschild &amp; Cie from 1999 to 2005. Mr. Chauche holds an M.S. in engineering from Ecole Des Ponts ParisTech and an MBA from the Wharton School of the University of Pennsylvania.</w:t>
      </w:r>
    </w:p>
    <w:p>
      <w:pPr>
        <w:spacing w:after="0" w:line="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Rozek, Esq. </w:t>
      </w:r>
      <w:r>
        <w:rPr>
          <w:rFonts w:ascii="Times New Roman" w:cs="Times New Roman" w:eastAsia="Times New Roman" w:hAnsi="Times New Roman"/>
          <w:sz w:val="18"/>
          <w:szCs w:val="18"/>
          <w:color w:val="auto"/>
        </w:rPr>
        <w:t>has served as our Chief Legal and Administrative Officer since November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this role, she served as our General Counsel and Chief Compliance Officer from April 2023 to November 2025. From December 2020 to December 2022, Ms. Rozek served as General Counsel and Chief Compliance Officer of Cognoa, Inc. From January 2010 to April 2023, she held various counsel positions at Basilea Pharmaceutica International Ltd., a Swiss-listed biopharmaceutical company with global operations, including Litigation Counsel (January 2010 to July 2010), General Counsel and Corporate Secretary (March 2011 to July 2017), Advisory External Counsel (August 2017 to December 2020), and Consultant (December 2020 to April 2023). From 2001 to 2006, Ms. Rozek served as a civil prosecutor for the U.S. Department of Justice. Ms. Rozek received her B.A. in literature from Brown University, M.A. in literature from the University of California at San Diego and J.D. from the University of California at Berkeley.</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Andreas Grauer, M.D. </w:t>
      </w:r>
      <w:r>
        <w:rPr>
          <w:rFonts w:ascii="Times New Roman" w:cs="Times New Roman" w:eastAsia="Times New Roman" w:hAnsi="Times New Roman"/>
          <w:sz w:val="18"/>
          <w:szCs w:val="18"/>
          <w:color w:val="auto"/>
        </w:rPr>
        <w:t>has served as our Chief Medical Officer since April 2026. Prior to this role,</w:t>
      </w:r>
    </w:p>
    <w:p>
      <w:pPr>
        <w:spacing w:after="0" w:line="20"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Dr. Grauer most recently served as Chief Medical Officer at Omeros Corporation (NASDAQ: OMER) from October 2023 to April 2026. Prior to Omeros, Dr. Grauer held Chief Medical Officer roles at Federation Bio (October 2021 to July 2023) and Corcept Therapeutics Incorporated (March 2019 to August 2021) . Prior to these roles, Dr. Grauer held various positions at Amgen, Inc. (December 2008 to December 2018) including Vice President Global Development. Dr. Grauer began his career at Procter &amp; Gamble Pharmaceuticals (1999 to November 2008). Dr. Grauer continues to serve as an Associate Professor of Medicine at the University of Heidelberg Medical School, Germany, where he received his M.D. and also completed his clinical training in internal medicine and endocrinology.</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compensation provided to our named executive officers for the year ended December 31, 2025 is detailed in the 2025 summary compensation table and accompanying footnotes and narrative that follow. Our named executive officers for the year ended December 31, 2025 are:</w:t>
      </w:r>
    </w:p>
    <w:p>
      <w:pPr>
        <w:spacing w:after="0" w:line="57"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David Happel</w:t>
      </w:r>
      <w:r>
        <w:rPr>
          <w:rFonts w:ascii="Times New Roman" w:cs="Times New Roman" w:eastAsia="Times New Roman" w:hAnsi="Times New Roman"/>
          <w:sz w:val="18"/>
          <w:szCs w:val="18"/>
          <w:color w:val="auto"/>
        </w:rPr>
        <w:t>, president, Chief Executive Officer and director;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Elizabeth Rozek, Esq.</w:t>
      </w:r>
      <w:r>
        <w:rPr>
          <w:rFonts w:ascii="Times New Roman" w:cs="Times New Roman" w:eastAsia="Times New Roman" w:hAnsi="Times New Roman"/>
          <w:sz w:val="18"/>
          <w:szCs w:val="18"/>
          <w:color w:val="auto"/>
        </w:rPr>
        <w:t>, Chief Legal and Administrative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Eduardo Bruno Martins, M.D., D.Phil.</w:t>
      </w:r>
      <w:r>
        <w:rPr>
          <w:rFonts w:ascii="Times New Roman" w:cs="Times New Roman" w:eastAsia="Times New Roman" w:hAnsi="Times New Roman"/>
          <w:sz w:val="18"/>
          <w:szCs w:val="18"/>
          <w:color w:val="auto"/>
        </w:rPr>
        <w:t>, Former Chief Medical Officer.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62"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all the compensation awarded to, earned by or paid to our named executive officers during the fiscal year ended December 31, 2025.</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6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Year</w:t>
            </w:r>
          </w:p>
        </w:tc>
        <w:tc>
          <w:tcPr>
            <w:tcW w:w="90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(1)</w:t>
            </w:r>
          </w:p>
        </w:tc>
        <w:tc>
          <w:tcPr>
            <w:tcW w:w="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1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Total ($)</w:t>
            </w:r>
          </w:p>
        </w:tc>
        <w:tc>
          <w:tcPr>
            <w:tcW w:w="0" w:type="dxa"/>
            <w:vAlign w:val="bottom"/>
          </w:tcPr>
          <w:p>
            <w:pPr>
              <w:spacing w:after="0"/>
              <w:rPr>
                <w:sz w:val="1"/>
                <w:szCs w:val="1"/>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120" w:type="dxa"/>
            <w:vAlign w:val="bottom"/>
            <w:tcBorders>
              <w:right w:val="single" w:sz="8" w:color="DEE0F9"/>
            </w:tcBorders>
          </w:tcPr>
          <w:p>
            <w:pPr>
              <w:spacing w:after="0" w:line="20" w:lineRule="exact"/>
              <w:rPr>
                <w:sz w:val="1"/>
                <w:szCs w:val="1"/>
                <w:color w:val="auto"/>
              </w:rPr>
            </w:pPr>
          </w:p>
        </w:tc>
        <w:tc>
          <w:tcPr>
            <w:tcW w:w="400" w:type="dxa"/>
            <w:vAlign w:val="bottom"/>
            <w:tcBorders>
              <w:right w:val="single" w:sz="8" w:color="DEE0F9"/>
            </w:tcBorders>
            <w:shd w:val="clear" w:color="auto" w:fill="000000"/>
          </w:tcPr>
          <w:p>
            <w:pPr>
              <w:spacing w:after="0" w:line="20" w:lineRule="exact"/>
              <w:rPr>
                <w:sz w:val="1"/>
                <w:szCs w:val="1"/>
                <w:color w:val="auto"/>
              </w:rPr>
            </w:pPr>
          </w:p>
        </w:tc>
        <w:tc>
          <w:tcPr>
            <w:tcW w:w="140" w:type="dxa"/>
            <w:vAlign w:val="bottom"/>
            <w:shd w:val="clear" w:color="auto" w:fill="DEE0F9"/>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DEE0F9"/>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shd w:val="clear" w:color="auto" w:fill="DEE0F9"/>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DEE0F9"/>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DEE0F9"/>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DEE0F9"/>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David Happel</w:t>
            </w:r>
          </w:p>
        </w:tc>
        <w:tc>
          <w:tcPr>
            <w:tcW w:w="120" w:type="dxa"/>
            <w:vAlign w:val="bottom"/>
            <w:tcBorders>
              <w:right w:val="single" w:sz="8" w:color="DEE0F9"/>
            </w:tcBorders>
          </w:tcPr>
          <w:p>
            <w:pPr>
              <w:spacing w:after="0"/>
              <w:rPr>
                <w:sz w:val="23"/>
                <w:szCs w:val="23"/>
                <w:color w:val="auto"/>
              </w:rPr>
            </w:pPr>
          </w:p>
        </w:tc>
        <w:tc>
          <w:tcPr>
            <w:tcW w:w="400" w:type="dxa"/>
            <w:vAlign w:val="bottom"/>
            <w:tcBorders>
              <w:bottom w:val="single" w:sz="8" w:color="DEE0F9"/>
              <w:right w:val="single" w:sz="8" w:color="DEE0F9"/>
            </w:tcBorders>
            <w:shd w:val="clear" w:color="auto" w:fill="DEE0F9"/>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140" w:type="dxa"/>
            <w:vAlign w:val="bottom"/>
            <w:tcBorders>
              <w:bottom w:val="single" w:sz="8" w:color="DEE0F9"/>
            </w:tcBorders>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DEE0F9"/>
            </w:tcBorders>
            <w:shd w:val="clear" w:color="auto" w:fill="DEE0F9"/>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630,000</w:t>
            </w:r>
          </w:p>
        </w:tc>
        <w:tc>
          <w:tcPr>
            <w:tcW w:w="160" w:type="dxa"/>
            <w:vAlign w:val="bottom"/>
            <w:tcBorders>
              <w:bottom w:val="single" w:sz="8" w:color="DEE0F9"/>
            </w:tcBorders>
            <w:shd w:val="clear" w:color="auto" w:fill="DEE0F9"/>
          </w:tcPr>
          <w:p>
            <w:pPr>
              <w:spacing w:after="0"/>
              <w:rPr>
                <w:sz w:val="23"/>
                <w:szCs w:val="23"/>
                <w:color w:val="auto"/>
              </w:rPr>
            </w:pPr>
          </w:p>
        </w:tc>
        <w:tc>
          <w:tcPr>
            <w:tcW w:w="620" w:type="dxa"/>
            <w:vAlign w:val="bottom"/>
            <w:tcBorders>
              <w:bottom w:val="single" w:sz="8" w:color="DEE0F9"/>
            </w:tcBorders>
            <w:gridSpan w:val="2"/>
            <w:shd w:val="clear" w:color="auto" w:fill="DEE0F9"/>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546,360</w:t>
            </w:r>
          </w:p>
        </w:tc>
        <w:tc>
          <w:tcPr>
            <w:tcW w:w="160" w:type="dxa"/>
            <w:vAlign w:val="bottom"/>
            <w:tcBorders>
              <w:bottom w:val="single" w:sz="8" w:color="DEE0F9"/>
            </w:tcBorders>
            <w:shd w:val="clear" w:color="auto" w:fill="DEE0F9"/>
          </w:tcPr>
          <w:p>
            <w:pPr>
              <w:spacing w:after="0"/>
              <w:rPr>
                <w:sz w:val="23"/>
                <w:szCs w:val="23"/>
                <w:color w:val="auto"/>
              </w:rPr>
            </w:pPr>
          </w:p>
        </w:tc>
        <w:tc>
          <w:tcPr>
            <w:tcW w:w="740" w:type="dxa"/>
            <w:vAlign w:val="bottom"/>
            <w:tcBorders>
              <w:bottom w:val="single" w:sz="8" w:color="DEE0F9"/>
            </w:tcBorders>
            <w:gridSpan w:val="2"/>
            <w:shd w:val="clear" w:color="auto" w:fill="DEE0F9"/>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1,749,751</w:t>
            </w:r>
          </w:p>
        </w:tc>
        <w:tc>
          <w:tcPr>
            <w:tcW w:w="160" w:type="dxa"/>
            <w:vAlign w:val="bottom"/>
            <w:tcBorders>
              <w:bottom w:val="single" w:sz="8" w:color="DEE0F9"/>
            </w:tcBorders>
            <w:shd w:val="clear" w:color="auto" w:fill="DEE0F9"/>
          </w:tcPr>
          <w:p>
            <w:pPr>
              <w:spacing w:after="0"/>
              <w:rPr>
                <w:sz w:val="23"/>
                <w:szCs w:val="23"/>
                <w:color w:val="auto"/>
              </w:rPr>
            </w:pPr>
          </w:p>
        </w:tc>
        <w:tc>
          <w:tcPr>
            <w:tcW w:w="900" w:type="dxa"/>
            <w:vAlign w:val="bottom"/>
            <w:tcBorders>
              <w:bottom w:val="single" w:sz="8" w:color="DEE0F9"/>
              <w:right w:val="single" w:sz="8" w:color="DEE0F9"/>
            </w:tcBorders>
            <w:shd w:val="clear" w:color="auto" w:fill="DEE0F9"/>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294,525</w:t>
            </w:r>
          </w:p>
        </w:tc>
        <w:tc>
          <w:tcPr>
            <w:tcW w:w="160" w:type="dxa"/>
            <w:vAlign w:val="bottom"/>
            <w:tcBorders>
              <w:bottom w:val="single" w:sz="8" w:color="DEE0F9"/>
            </w:tcBorders>
            <w:shd w:val="clear" w:color="auto" w:fill="DEE0F9"/>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880" w:type="dxa"/>
            <w:vAlign w:val="bottom"/>
            <w:tcBorders>
              <w:bottom w:val="single" w:sz="8" w:color="DEE0F9"/>
              <w:right w:val="single" w:sz="8" w:color="DEE0F9"/>
            </w:tcBorders>
            <w:shd w:val="clear" w:color="auto" w:fill="DEE0F9"/>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19,358</w:t>
            </w:r>
          </w:p>
        </w:tc>
        <w:tc>
          <w:tcPr>
            <w:tcW w:w="160" w:type="dxa"/>
            <w:vAlign w:val="bottom"/>
            <w:tcBorders>
              <w:bottom w:val="single" w:sz="8" w:color="DEE0F9"/>
            </w:tcBorders>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EE0F9"/>
            </w:tcBorders>
            <w:gridSpan w:val="2"/>
            <w:shd w:val="clear" w:color="auto" w:fill="DEE0F9"/>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3,239,994</w:t>
            </w:r>
          </w:p>
        </w:tc>
        <w:tc>
          <w:tcPr>
            <w:tcW w:w="0" w:type="dxa"/>
            <w:vAlign w:val="bottom"/>
          </w:tcPr>
          <w:p>
            <w:pPr>
              <w:spacing w:after="0"/>
              <w:rPr>
                <w:sz w:val="1"/>
                <w:szCs w:val="1"/>
                <w:color w:val="auto"/>
              </w:rPr>
            </w:pPr>
          </w:p>
        </w:tc>
      </w:tr>
      <w:tr>
        <w:trPr>
          <w:trHeight w:val="189"/>
        </w:trPr>
        <w:tc>
          <w:tcPr>
            <w:tcW w:w="2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President and Chief</w:t>
            </w:r>
          </w:p>
        </w:tc>
        <w:tc>
          <w:tcPr>
            <w:tcW w:w="120" w:type="dxa"/>
            <w:vAlign w:val="bottom"/>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 ​582,000</w:t>
            </w:r>
          </w:p>
        </w:tc>
        <w:tc>
          <w:tcPr>
            <w:tcW w:w="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​320,100</w:t>
            </w:r>
          </w:p>
        </w:tc>
        <w:tc>
          <w:tcPr>
            <w:tcW w:w="160" w:type="dxa"/>
            <w:vAlign w:val="bottom"/>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 4,064</w:t>
            </w:r>
          </w:p>
        </w:tc>
        <w:tc>
          <w:tcPr>
            <w:tcW w:w="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906,164</w:t>
            </w:r>
          </w:p>
        </w:tc>
        <w:tc>
          <w:tcPr>
            <w:tcW w:w="0" w:type="dxa"/>
            <w:vAlign w:val="bottom"/>
          </w:tcPr>
          <w:p>
            <w:pPr>
              <w:spacing w:after="0"/>
              <w:rPr>
                <w:sz w:val="1"/>
                <w:szCs w:val="1"/>
                <w:color w:val="auto"/>
              </w:rPr>
            </w:pPr>
          </w:p>
        </w:tc>
      </w:tr>
      <w:tr>
        <w:trPr>
          <w:trHeight w:val="23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2025</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483,333</w:t>
            </w: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235,137</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170,000</w:t>
            </w:r>
          </w:p>
        </w:tc>
        <w:tc>
          <w:tcPr>
            <w:tcW w:w="160" w:type="dxa"/>
            <w:vAlign w:val="bottom"/>
            <w:vMerge w:val="restart"/>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16,564</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1,496,702</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Elizabeth Rozek, Esq.</w:t>
            </w:r>
          </w:p>
        </w:tc>
        <w:tc>
          <w:tcPr>
            <w:tcW w:w="520" w:type="dxa"/>
            <w:vAlign w:val="bottom"/>
            <w:gridSpan w:val="2"/>
            <w:vMerge w:val="continue"/>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860" w:type="dxa"/>
            <w:vAlign w:val="bottom"/>
            <w:gridSpan w:val="4"/>
            <w:vMerge w:val="continue"/>
          </w:tcPr>
          <w:p>
            <w:pPr>
              <w:spacing w:after="0"/>
              <w:rPr>
                <w:sz w:val="22"/>
                <w:szCs w:val="22"/>
                <w:color w:val="auto"/>
              </w:rPr>
            </w:pPr>
          </w:p>
        </w:tc>
        <w:tc>
          <w:tcPr>
            <w:tcW w:w="820" w:type="dxa"/>
            <w:vAlign w:val="bottom"/>
            <w:gridSpan w:val="2"/>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591,668</w:t>
            </w:r>
            <w:r>
              <w:rPr>
                <w:rFonts w:ascii="Times New Roman" w:cs="Times New Roman" w:eastAsia="Times New Roman" w:hAnsi="Times New Roman"/>
                <w:sz w:val="23"/>
                <w:szCs w:val="23"/>
                <w:color w:val="auto"/>
                <w:vertAlign w:val="superscript"/>
              </w:rPr>
              <w:t>(6)</w:t>
            </w:r>
          </w:p>
        </w:tc>
        <w:tc>
          <w:tcPr>
            <w:tcW w:w="90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and</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​446,000</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​178,400</w:t>
            </w:r>
          </w:p>
        </w:tc>
        <w:tc>
          <w:tcPr>
            <w:tcW w:w="160" w:type="dxa"/>
            <w:vAlign w:val="bottom"/>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1,742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626,142</w:t>
            </w:r>
          </w:p>
        </w:tc>
        <w:tc>
          <w:tcPr>
            <w:tcW w:w="0" w:type="dxa"/>
            <w:vAlign w:val="bottom"/>
          </w:tcPr>
          <w:p>
            <w:pPr>
              <w:spacing w:after="0"/>
              <w:rPr>
                <w:sz w:val="1"/>
                <w:szCs w:val="1"/>
                <w:color w:val="auto"/>
              </w:rPr>
            </w:pPr>
          </w:p>
        </w:tc>
      </w:tr>
      <w:tr>
        <w:trPr>
          <w:trHeight w:val="23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Administrative Officer</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Eduardo Bruno Martins,</w:t>
            </w:r>
          </w:p>
        </w:tc>
        <w:tc>
          <w:tcPr>
            <w:tcW w:w="120" w:type="dxa"/>
            <w:vAlign w:val="bottom"/>
            <w:tcBorders>
              <w:right w:val="single" w:sz="8" w:color="DEE0F9"/>
            </w:tcBorders>
          </w:tcPr>
          <w:p>
            <w:pPr>
              <w:spacing w:after="0"/>
              <w:rPr>
                <w:sz w:val="24"/>
                <w:szCs w:val="24"/>
                <w:color w:val="auto"/>
              </w:rPr>
            </w:pPr>
          </w:p>
        </w:tc>
        <w:tc>
          <w:tcPr>
            <w:tcW w:w="400" w:type="dxa"/>
            <w:vAlign w:val="bottom"/>
            <w:tcBorders>
              <w:bottom w:val="single" w:sz="8" w:color="DEE0F9"/>
              <w:right w:val="single" w:sz="8" w:color="DEE0F9"/>
            </w:tcBorders>
            <w:shd w:val="clear" w:color="auto" w:fill="DEE0F9"/>
          </w:tcPr>
          <w:p>
            <w:pPr>
              <w:jc w:val="right"/>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2025</w:t>
            </w:r>
          </w:p>
        </w:tc>
        <w:tc>
          <w:tcPr>
            <w:tcW w:w="900" w:type="dxa"/>
            <w:vAlign w:val="bottom"/>
            <w:tcBorders>
              <w:bottom w:val="single" w:sz="8" w:color="DEE0F9"/>
            </w:tcBorders>
            <w:gridSpan w:val="3"/>
            <w:shd w:val="clear" w:color="auto" w:fill="DEE0F9"/>
          </w:tcPr>
          <w:p>
            <w:pPr>
              <w:ind w:left="20"/>
              <w:spacing w:after="0" w:line="258"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500,000</w:t>
            </w:r>
          </w:p>
        </w:tc>
        <w:tc>
          <w:tcPr>
            <w:tcW w:w="780" w:type="dxa"/>
            <w:vAlign w:val="bottom"/>
            <w:tcBorders>
              <w:bottom w:val="single" w:sz="8" w:color="DEE0F9"/>
            </w:tcBorders>
            <w:gridSpan w:val="3"/>
            <w:shd w:val="clear" w:color="auto" w:fill="DEE0F9"/>
          </w:tcPr>
          <w:p>
            <w:pPr>
              <w:ind w:left="20"/>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160,140</w:t>
            </w:r>
          </w:p>
        </w:tc>
        <w:tc>
          <w:tcPr>
            <w:tcW w:w="80" w:type="dxa"/>
            <w:vAlign w:val="bottom"/>
            <w:tcBorders>
              <w:bottom w:val="single" w:sz="8" w:color="DEE0F9"/>
            </w:tcBorders>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EE0F9"/>
            </w:tcBorders>
            <w:gridSpan w:val="2"/>
            <w:shd w:val="clear" w:color="auto" w:fill="DEE0F9"/>
          </w:tcPr>
          <w:p>
            <w:pPr>
              <w:jc w:val="right"/>
              <w:ind w:right="160"/>
              <w:spacing w:after="0"/>
              <w:rPr>
                <w:sz w:val="20"/>
                <w:szCs w:val="20"/>
                <w:color w:val="auto"/>
              </w:rPr>
            </w:pPr>
            <w:r>
              <w:rPr>
                <w:rFonts w:ascii="Times New Roman" w:cs="Times New Roman" w:eastAsia="Times New Roman" w:hAnsi="Times New Roman"/>
                <w:sz w:val="18"/>
                <w:szCs w:val="18"/>
                <w:color w:val="auto"/>
              </w:rPr>
              <w:t>511,580</w:t>
            </w:r>
          </w:p>
        </w:tc>
        <w:tc>
          <w:tcPr>
            <w:tcW w:w="900" w:type="dxa"/>
            <w:vAlign w:val="bottom"/>
            <w:tcBorders>
              <w:bottom w:val="single" w:sz="8" w:color="DEE0F9"/>
              <w:right w:val="single" w:sz="8" w:color="DEE0F9"/>
            </w:tcBorders>
            <w:shd w:val="clear" w:color="auto" w:fill="DEE0F9"/>
          </w:tcPr>
          <w:p>
            <w:pPr>
              <w:jc w:val="center"/>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170,000</w:t>
            </w:r>
          </w:p>
        </w:tc>
        <w:tc>
          <w:tcPr>
            <w:tcW w:w="160" w:type="dxa"/>
            <w:vAlign w:val="bottom"/>
            <w:tcBorders>
              <w:bottom w:val="single" w:sz="8" w:color="DEE0F9"/>
            </w:tcBorders>
            <w:shd w:val="clear" w:color="auto" w:fill="DEE0F9"/>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880" w:type="dxa"/>
            <w:vAlign w:val="bottom"/>
            <w:tcBorders>
              <w:bottom w:val="single" w:sz="8" w:color="DEE0F9"/>
              <w:right w:val="single" w:sz="8" w:color="DEE0F9"/>
            </w:tcBorders>
            <w:shd w:val="clear" w:color="auto" w:fill="DEE0F9"/>
          </w:tcPr>
          <w:p>
            <w:pPr>
              <w:jc w:val="center"/>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19,121</w:t>
            </w:r>
          </w:p>
        </w:tc>
        <w:tc>
          <w:tcPr>
            <w:tcW w:w="160" w:type="dxa"/>
            <w:vAlign w:val="bottom"/>
            <w:tcBorders>
              <w:bottom w:val="single" w:sz="8" w:color="DEE0F9"/>
            </w:tcBorders>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EE0F9"/>
            </w:tcBorders>
            <w:gridSpan w:val="2"/>
            <w:shd w:val="clear" w:color="auto" w:fill="DEE0F9"/>
          </w:tcPr>
          <w:p>
            <w:pPr>
              <w:jc w:val="right"/>
              <w:spacing w:after="0" w:line="258"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1,360,841</w:t>
            </w:r>
          </w:p>
        </w:tc>
        <w:tc>
          <w:tcPr>
            <w:tcW w:w="0" w:type="dxa"/>
            <w:vAlign w:val="bottom"/>
          </w:tcPr>
          <w:p>
            <w:pPr>
              <w:spacing w:after="0"/>
              <w:rPr>
                <w:sz w:val="1"/>
                <w:szCs w:val="1"/>
                <w:color w:val="auto"/>
              </w:rPr>
            </w:pPr>
          </w:p>
        </w:tc>
      </w:tr>
      <w:tr>
        <w:trPr>
          <w:trHeight w:val="189"/>
        </w:trPr>
        <w:tc>
          <w:tcPr>
            <w:tcW w:w="2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M.D., D.Phil.,</w:t>
            </w:r>
          </w:p>
        </w:tc>
        <w:tc>
          <w:tcPr>
            <w:tcW w:w="120" w:type="dxa"/>
            <w:vAlign w:val="bottom"/>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 ​475,000</w:t>
            </w:r>
          </w:p>
        </w:tc>
        <w:tc>
          <w:tcPr>
            <w:tcW w:w="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​190,000</w:t>
            </w:r>
          </w:p>
        </w:tc>
        <w:tc>
          <w:tcPr>
            <w:tcW w:w="160" w:type="dxa"/>
            <w:vAlign w:val="bottom"/>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 4,064</w:t>
            </w:r>
          </w:p>
        </w:tc>
        <w:tc>
          <w:tcPr>
            <w:tcW w:w="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669,064</w:t>
            </w:r>
          </w:p>
        </w:tc>
        <w:tc>
          <w:tcPr>
            <w:tcW w:w="0" w:type="dxa"/>
            <w:vAlign w:val="bottom"/>
          </w:tcPr>
          <w:p>
            <w:pPr>
              <w:spacing w:after="0"/>
              <w:rPr>
                <w:sz w:val="1"/>
                <w:szCs w:val="1"/>
                <w:color w:val="auto"/>
              </w:rPr>
            </w:pPr>
          </w:p>
        </w:tc>
      </w:tr>
      <w:tr>
        <w:trPr>
          <w:trHeight w:val="193"/>
        </w:trPr>
        <w:tc>
          <w:tcPr>
            <w:tcW w:w="2260" w:type="dxa"/>
            <w:vAlign w:val="bottom"/>
          </w:tcPr>
          <w:p>
            <w:pPr>
              <w:ind w:left="180"/>
              <w:spacing w:after="0" w:line="193" w:lineRule="exact"/>
              <w:rPr>
                <w:sz w:val="20"/>
                <w:szCs w:val="20"/>
                <w:color w:val="auto"/>
              </w:rPr>
            </w:pPr>
            <w:r>
              <w:rPr>
                <w:rFonts w:ascii="Times New Roman" w:cs="Times New Roman" w:eastAsia="Times New Roman" w:hAnsi="Times New Roman"/>
                <w:sz w:val="18"/>
                <w:szCs w:val="18"/>
                <w:i w:val="1"/>
                <w:iCs w:val="1"/>
                <w:color w:val="auto"/>
              </w:rPr>
              <w:t>Former Chief Medical</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-1364615</wp:posOffset>
            </wp:positionV>
            <wp:extent cx="5212080" cy="15862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58623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23"/>
          <w:szCs w:val="23"/>
          <w:b w:val="1"/>
          <w:bCs w:val="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189865</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620" w:right="819" w:hanging="360"/>
        <w:spacing w:after="0" w:line="28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annual salary adjustments that were made during 2024 and 2025. For more information, see “Annual base salary” below.</w:t>
      </w:r>
    </w:p>
    <w:p>
      <w:pPr>
        <w:spacing w:after="0" w:line="1" w:lineRule="exact"/>
        <w:rPr>
          <w:rFonts w:ascii="Times New Roman" w:cs="Times New Roman" w:eastAsia="Times New Roman" w:hAnsi="Times New Roman"/>
          <w:sz w:val="18"/>
          <w:szCs w:val="18"/>
          <w:color w:val="auto"/>
        </w:rPr>
      </w:pPr>
    </w:p>
    <w:p>
      <w:pPr>
        <w:ind w:left="1620" w:right="539" w:hanging="360"/>
        <w:spacing w:after="0" w:line="254"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restricted stock units granted to our named executive officers in the applicable year, calculated in accordance with FASB ASC Topic 718. Such grant date fair values do not take into account any estimated forfeitures. The assumptions used in calculating the grant date fair values of the restricted stock units reported in this column are set forth in note 2 of our financial statements included in our 2025 Annual Report . These amounts reported in this column reflect the accounting cost for these restricted stock units and do not correspond to the economic value that may be received by our named executive officers upon vesting and settlement of such awards or any sale of the shares of our Series A common stock received.</w:t>
      </w:r>
    </w:p>
    <w:p>
      <w:pPr>
        <w:spacing w:after="0" w:line="29"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granted to our named executive officers in the applicable year, calculated in accordance with FASB ASC Topic 718. Such grant date fair values do not take into account any estimated forfeitures. The assumptions used in calculating the grant date fair values of the stock options reported in this column are set forth in note 2 of our financial statements included in our 2025 Annual Report. These amounts reported in this column reflect the accounting cost for these stock options and do not correspond to the economic value that may be received by our named executive officers upon the exercise of such awards or any sale of the underlying shares of our Series A common stock.</w:t>
      </w:r>
    </w:p>
    <w:p>
      <w:pPr>
        <w:spacing w:after="0" w:line="29"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performance-based cash bonus payments awarded based on the achievement of certain corporate performance goals. All of the bonuses earned by our named executive officers in 2024 were paid in cash in 2025 and all of the bonuses earned by our named executive officers in 2025 were paid in cash in 2026.</w:t>
      </w:r>
    </w:p>
    <w:p>
      <w:pPr>
        <w:spacing w:after="0" w:line="1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life insurance premium payments made in 2024 and 2025 for</w:t>
      </w:r>
    </w:p>
    <w:p>
      <w:pPr>
        <w:spacing w:after="0" w:line="27"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Happel, Ms. Rozek and Dr. Martins in the amount of $3,564, $1,242 and $3,564, respectively. The amounts reported included matching contributions that we made under our 401(k) plan in 2025 in the amount</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47" w:lineRule="auto"/>
        <w:rPr>
          <w:sz w:val="20"/>
          <w:szCs w:val="20"/>
          <w:color w:val="auto"/>
        </w:rPr>
      </w:pPr>
      <w:r>
        <w:rPr>
          <w:rFonts w:ascii="Times New Roman" w:cs="Times New Roman" w:eastAsia="Times New Roman" w:hAnsi="Times New Roman"/>
          <w:sz w:val="18"/>
          <w:szCs w:val="18"/>
          <w:color w:val="auto"/>
        </w:rPr>
        <w:t>of $14,000 for each of Mr. Happel, Ms. Rozek and Dr. Martins. The amounts reported in 2024 for each of Messrs. Happel, Rozek and Dr. Martins includes a $500 annual holiday gift card (for 2023 holidays) offered to all of our employees. The amounts reported in 2025 for each of Mr. Happel, Ms. Rozek and Dr. Martins includes two $500 annual holiday gift cards (for 2024 and 2025 holidays) offered to all of our employees, along with a tax gross-up associated with the gift cards of $794, $322 and $557, respectively.</w:t>
      </w:r>
    </w:p>
    <w:p>
      <w:pPr>
        <w:spacing w:after="0" w:line="244" w:lineRule="exact"/>
        <w:rPr>
          <w:sz w:val="20"/>
          <w:szCs w:val="20"/>
          <w:color w:val="auto"/>
        </w:rPr>
      </w:pPr>
    </w:p>
    <w:p>
      <w:pPr>
        <w:jc w:val="both"/>
        <w:ind w:left="1620" w:right="51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include 9,855 restricted stock units and 13,367 options granted to Ms. Rozek in November 2025 in connection with Ms. Rozek’s promotion to Chief Legal and Administrative Officer.</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Martin’s announced his retirement effective as of April 20, 2026.</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62" w:lineRule="exact"/>
        <w:rPr>
          <w:sz w:val="20"/>
          <w:szCs w:val="20"/>
          <w:color w:val="auto"/>
        </w:rPr>
      </w:pPr>
    </w:p>
    <w:p>
      <w:pPr>
        <w:ind w:left="1260" w:right="739" w:firstLine="360"/>
        <w:spacing w:after="0" w:line="243" w:lineRule="auto"/>
        <w:rPr>
          <w:sz w:val="20"/>
          <w:szCs w:val="20"/>
          <w:color w:val="auto"/>
        </w:rPr>
      </w:pPr>
      <w:r>
        <w:rPr>
          <w:rFonts w:ascii="Times New Roman" w:cs="Times New Roman" w:eastAsia="Times New Roman" w:hAnsi="Times New Roman"/>
          <w:sz w:val="18"/>
          <w:szCs w:val="18"/>
          <w:color w:val="auto"/>
        </w:rPr>
        <w:t>Our Compensation Committee reviews and approves compensation annually for all employees, including our named executive officers, with the exception of our Chief Executive Officer. The Compensation Committee reviews and recommends the Chief Executive Officer’s compensation to the Board for approval.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Base Salary</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Base salaries for our executive officers are initially established through arm’s -length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our Board with executives at other companies.</w:t>
      </w:r>
    </w:p>
    <w:p>
      <w:pPr>
        <w:spacing w:after="0" w:line="11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2024 annual base salaries in effect on January 1, 2024 for Mr. Happel Ms. Rozek and Dr. Martins were $582,000, $446,000 and $475,000, respectively.</w:t>
      </w:r>
    </w:p>
    <w:p>
      <w:pPr>
        <w:spacing w:after="0" w:line="8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2025 annual base salaries in effect on January 1, 2025 for Mr. Happel, Ms. Rozek and Dr. Martins were $630,000, $480,000 and $500,000, respectively.</w:t>
      </w:r>
    </w:p>
    <w:p>
      <w:pPr>
        <w:spacing w:after="0" w:line="9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February 2026, our Compensation Committee approved, and in the case of Mr. Happel, our Compensation Committee recommended and our Board approved, annual base salaries effective January 1, 2026 for Mr. Happel, Ms. Rozek and Dr. Martins in the amounts of $654,000, $500,000 and $500,000,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Performance Bonuses</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During the year ended December 31, 2025, our named executive officers were each eligible to earn an annual bonus based on the achievement of certain individual objectives and company performance objectives. For the fiscal year ended December 31, 2025, the target annual bonuses for Mr. Happel,</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Ms. Rozek and Dr. Martins were 55%, 40% and 40%, respectively.</w:t>
      </w:r>
    </w:p>
    <w:p>
      <w:pPr>
        <w:spacing w:after="0" w:line="124"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For 2025, our named executive officers were eligible to earn their annual bonus pursuant to the achievement of corporate goals approved by our Board. These goals primarily related to the clinical development of denifanstat, pipeline and platform development, financing and operations. The Board determined that the 2025 corporate goals were achieved at 85%. Following a review of 2025 performance, our Compensation Committee approved, and, in the case of Mr. Happel, our Compensation Committee recommended and our Board approved, 2025 annual bonus payouts to each of Mr. Happel, Ms. Rozek and Dr. Martins equal to $294,525, $170,000 and $170,000, respectively, in each case representing 85% of the target cash incentive for each such named executive officer.</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believe that equity awards provide our executive officers with a strong link to our long-term performance, create an ownership culture and help to align the interests of our executives and stockholders. In addition, we believe that equity awards with a time-based vesting feature promote executive retention because this feature incentivizes our executive officers to remain in our employment during the applicable vesting period. Accordingly, our Board periodically reviews the equity incentive compensation of our named executive officers and from time to time may grant equity incentive awards to them.</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Equity Awards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2024, we did not make annual equity grants to our named executive officers.</w:t>
      </w:r>
    </w:p>
    <w:p>
      <w:pPr>
        <w:spacing w:after="0" w:line="144" w:lineRule="exact"/>
        <w:rPr>
          <w:sz w:val="20"/>
          <w:szCs w:val="20"/>
          <w:color w:val="auto"/>
        </w:rPr>
      </w:pPr>
    </w:p>
    <w:p>
      <w:pPr>
        <w:ind w:left="1260" w:right="1179" w:firstLine="360"/>
        <w:spacing w:after="0" w:line="261" w:lineRule="auto"/>
        <w:rPr>
          <w:sz w:val="20"/>
          <w:szCs w:val="20"/>
          <w:color w:val="auto"/>
        </w:rPr>
      </w:pPr>
      <w:r>
        <w:rPr>
          <w:rFonts w:ascii="Times New Roman" w:cs="Times New Roman" w:eastAsia="Times New Roman" w:hAnsi="Times New Roman"/>
          <w:sz w:val="18"/>
          <w:szCs w:val="18"/>
          <w:color w:val="auto"/>
        </w:rPr>
        <w:t>In February 2025, our Compensation Committee approved, and in the case of Mr. Happel, our Compensation Committee recommended and our Board approved, grants of options and restricted</w:t>
      </w:r>
    </w:p>
    <w:p>
      <w:pPr>
        <w:ind w:left="1260" w:right="579"/>
        <w:spacing w:after="0" w:line="252" w:lineRule="auto"/>
        <w:rPr>
          <w:sz w:val="20"/>
          <w:szCs w:val="20"/>
          <w:color w:val="auto"/>
        </w:rPr>
      </w:pPr>
      <w:r>
        <w:rPr>
          <w:rFonts w:ascii="Times New Roman" w:cs="Times New Roman" w:eastAsia="Times New Roman" w:hAnsi="Times New Roman"/>
          <w:sz w:val="18"/>
          <w:szCs w:val="18"/>
          <w:color w:val="auto"/>
        </w:rPr>
        <w:t>stock units to each of our named executive officers. We granted options to purchase 472,000, 138,000 and 138,000 shares of Series A common stock and 116,000, 34,000 and 34,000 restricted stock units to each of Mr. Happel, Ms. Rozek and Dr. Martins, respectively. The options vest over forty-eight equal monthly installments, subject to each named executive officer’s continued service on each such vesting date. The restricted stock units vest over four equal annual installments, subject to each named executive officer’s continued service on each such vesting date.</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February 2026, our Compensation Committee approved, and in the case of Mr. Happel, 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Committee recommended and our Board approved, grants of options and restricted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units to each of our named executive officers. We granted options to purchase 256,000, 88,000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88,000 shares of Series A common stock and 128,000, 44,000 and 44,000 restricted stock units to each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Happel, Ms. Rozek and Dr. Martins, respectively. The options vest over forty-eight equal monthly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installments, subject to each named executive officer’s continued service on each such vesting date.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restricted stock units vest over four equal annual installments, subject to each named executive officer’s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continued service on each such vesting date.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Awards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Our Board established a pool of shares of Series A common stock from which grants can be issued with Compensation Committee approval but without stockholder approval as inducement for new employees to accept employment offers from the Company under Nasdaq Listing Rule 5635(c)(4). Inducement grants to new employees are determined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outstanding equity awards held by each named executive officer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1360" w:type="dxa"/>
            <w:vAlign w:val="bottom"/>
          </w:tcPr>
          <w:p>
            <w:pPr>
              <w:spacing w:after="0"/>
              <w:rPr>
                <w:sz w:val="20"/>
                <w:szCs w:val="20"/>
                <w:color w:val="auto"/>
              </w:rPr>
            </w:pP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Market value</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 or</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units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units of</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Per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6"/>
              </w:rPr>
              <w:t>vested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3"/>
              </w:rPr>
              <w:t>Grant Date</w:t>
            </w:r>
            <w:r>
              <w:rPr>
                <w:rFonts w:ascii="Times New Roman" w:cs="Times New Roman" w:eastAsia="Times New Roman" w:hAnsi="Times New Roman"/>
                <w:sz w:val="17"/>
                <w:szCs w:val="17"/>
                <w:b w:val="1"/>
                <w:bCs w:val="1"/>
                <w:color w:val="auto"/>
                <w:w w:val="93"/>
                <w:vertAlign w:val="superscript"/>
              </w:rPr>
              <w:t>(2)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9"/>
                <w:szCs w:val="19"/>
                <w:color w:val="auto"/>
              </w:rPr>
            </w:pP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9"/>
                <w:szCs w:val="19"/>
                <w:color w:val="auto"/>
              </w:rPr>
            </w:pPr>
          </w:p>
        </w:tc>
        <w:tc>
          <w:tcPr>
            <w:tcW w:w="6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E0F9"/>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DEE0F9"/>
          </w:tcPr>
          <w:p>
            <w:pPr>
              <w:spacing w:after="0" w:line="20" w:lineRule="exact"/>
              <w:rPr>
                <w:sz w:val="1"/>
                <w:szCs w:val="1"/>
                <w:color w:val="auto"/>
              </w:rPr>
            </w:pPr>
          </w:p>
        </w:tc>
        <w:tc>
          <w:tcPr>
            <w:tcW w:w="160" w:type="dxa"/>
            <w:vAlign w:val="bottom"/>
            <w:gridSpan w:val="2"/>
            <w:vMerge w:val="restart"/>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vMerge w:val="restart"/>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vMerge w:val="restart"/>
            <w:shd w:val="clear" w:color="auto" w:fill="DEE0F9"/>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DEE0F9"/>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gridSpan w:val="2"/>
            <w:vMerge w:val="restart"/>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shd w:val="clear" w:color="auto" w:fill="DEE0F9"/>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David Happel</w:t>
            </w:r>
          </w:p>
        </w:tc>
        <w:tc>
          <w:tcPr>
            <w:tcW w:w="100" w:type="dxa"/>
            <w:vAlign w:val="bottom"/>
            <w:vMerge w:val="continue"/>
          </w:tcPr>
          <w:p>
            <w:pPr>
              <w:spacing w:after="0"/>
              <w:rPr>
                <w:sz w:val="24"/>
                <w:szCs w:val="24"/>
                <w:color w:val="auto"/>
              </w:rPr>
            </w:pPr>
          </w:p>
        </w:tc>
        <w:tc>
          <w:tcPr>
            <w:tcW w:w="1060" w:type="dxa"/>
            <w:vAlign w:val="bottom"/>
            <w:gridSpan w:val="6"/>
            <w:shd w:val="clear" w:color="auto" w:fill="DEE0F9"/>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10/17/2022</w:t>
            </w:r>
            <w:r>
              <w:rPr>
                <w:rFonts w:ascii="Times New Roman" w:cs="Times New Roman" w:eastAsia="Times New Roman" w:hAnsi="Times New Roman"/>
                <w:sz w:val="23"/>
                <w:szCs w:val="23"/>
                <w:color w:val="auto"/>
                <w:vertAlign w:val="superscript"/>
              </w:rPr>
              <w:t>(5)</w:t>
            </w:r>
          </w:p>
        </w:tc>
        <w:tc>
          <w:tcPr>
            <w:tcW w:w="160" w:type="dxa"/>
            <w:vAlign w:val="bottom"/>
            <w:gridSpan w:val="2"/>
            <w:vMerge w:val="continue"/>
            <w:shd w:val="clear" w:color="auto" w:fill="DEE0F9"/>
          </w:tcPr>
          <w:p>
            <w:pPr>
              <w:spacing w:after="0"/>
              <w:rPr>
                <w:sz w:val="24"/>
                <w:szCs w:val="24"/>
                <w:color w:val="auto"/>
              </w:rPr>
            </w:pPr>
          </w:p>
        </w:tc>
        <w:tc>
          <w:tcPr>
            <w:tcW w:w="740" w:type="dxa"/>
            <w:vAlign w:val="bottom"/>
            <w:tcBorders>
              <w:right w:val="single" w:sz="8" w:color="DEE0F9"/>
            </w:tcBorders>
            <w:gridSpan w:val="2"/>
            <w:shd w:val="clear" w:color="auto" w:fill="DEE0F9"/>
          </w:tcPr>
          <w:p>
            <w:pPr>
              <w:ind w:left="60"/>
              <w:spacing w:after="0" w:line="30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801,040</w:t>
            </w:r>
          </w:p>
        </w:tc>
        <w:tc>
          <w:tcPr>
            <w:tcW w:w="200" w:type="dxa"/>
            <w:vAlign w:val="bottom"/>
            <w:vMerge w:val="continue"/>
            <w:shd w:val="clear" w:color="auto" w:fill="DEE0F9"/>
          </w:tcPr>
          <w:p>
            <w:pPr>
              <w:spacing w:after="0"/>
              <w:rPr>
                <w:sz w:val="24"/>
                <w:szCs w:val="24"/>
                <w:color w:val="auto"/>
              </w:rPr>
            </w:pPr>
          </w:p>
        </w:tc>
        <w:tc>
          <w:tcPr>
            <w:tcW w:w="860" w:type="dxa"/>
            <w:vAlign w:val="bottom"/>
            <w:tcBorders>
              <w:right w:val="single" w:sz="8" w:color="DEE0F9"/>
            </w:tcBorders>
            <w:gridSpan w:val="2"/>
            <w:shd w:val="clear" w:color="auto" w:fill="DEE0F9"/>
          </w:tcPr>
          <w:p>
            <w:pPr>
              <w:ind w:left="120"/>
              <w:spacing w:after="0" w:line="30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210,786</w:t>
            </w:r>
          </w:p>
        </w:tc>
        <w:tc>
          <w:tcPr>
            <w:tcW w:w="200" w:type="dxa"/>
            <w:vAlign w:val="bottom"/>
            <w:vMerge w:val="continue"/>
            <w:shd w:val="clear" w:color="auto" w:fill="DEE0F9"/>
          </w:tcPr>
          <w:p>
            <w:pPr>
              <w:spacing w:after="0"/>
              <w:rPr>
                <w:sz w:val="24"/>
                <w:szCs w:val="24"/>
                <w:color w:val="auto"/>
              </w:rPr>
            </w:pPr>
          </w:p>
        </w:tc>
        <w:tc>
          <w:tcPr>
            <w:tcW w:w="140" w:type="dxa"/>
            <w:vAlign w:val="bottom"/>
            <w:shd w:val="clear" w:color="auto" w:fill="DEE0F9"/>
          </w:tcPr>
          <w:p>
            <w:pPr>
              <w:jc w:val="right"/>
              <w:spacing w:after="0" w:line="304" w:lineRule="exact"/>
              <w:rPr>
                <w:sz w:val="20"/>
                <w:szCs w:val="20"/>
                <w:color w:val="auto"/>
              </w:rPr>
            </w:pPr>
            <w:r>
              <w:rPr>
                <w:rFonts w:ascii="Times New Roman" w:cs="Times New Roman" w:eastAsia="Times New Roman" w:hAnsi="Times New Roman"/>
                <w:sz w:val="18"/>
                <w:szCs w:val="18"/>
                <w:color w:val="auto"/>
                <w:w w:val="85"/>
              </w:rPr>
              <w:t>​</w:t>
            </w:r>
            <w:r>
              <w:rPr>
                <w:rFonts w:ascii="Times New Roman" w:cs="Times New Roman" w:eastAsia="Times New Roman" w:hAnsi="Times New Roman"/>
                <w:sz w:val="35"/>
                <w:szCs w:val="35"/>
                <w:color w:val="auto"/>
                <w:w w:val="85"/>
                <w:vertAlign w:val="subscript"/>
              </w:rPr>
              <w:t>$</w:t>
            </w:r>
          </w:p>
        </w:tc>
        <w:tc>
          <w:tcPr>
            <w:tcW w:w="440" w:type="dxa"/>
            <w:vAlign w:val="bottom"/>
            <w:tcBorders>
              <w:right w:val="single" w:sz="8" w:color="DEE0F9"/>
            </w:tcBorders>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20" w:type="dxa"/>
            <w:vAlign w:val="bottom"/>
            <w:gridSpan w:val="3"/>
            <w:shd w:val="clear" w:color="auto" w:fill="DEE0F9"/>
          </w:tcPr>
          <w:p>
            <w:pPr>
              <w:spacing w:after="0" w:line="30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10/16/2032</w:t>
            </w:r>
          </w:p>
        </w:tc>
        <w:tc>
          <w:tcPr>
            <w:tcW w:w="200" w:type="dxa"/>
            <w:vAlign w:val="bottom"/>
            <w:gridSpan w:val="2"/>
            <w:vMerge w:val="continue"/>
            <w:shd w:val="clear" w:color="auto" w:fill="DEE0F9"/>
          </w:tcPr>
          <w:p>
            <w:pPr>
              <w:spacing w:after="0"/>
              <w:rPr>
                <w:sz w:val="24"/>
                <w:szCs w:val="24"/>
                <w:color w:val="auto"/>
              </w:rPr>
            </w:pPr>
          </w:p>
        </w:tc>
        <w:tc>
          <w:tcPr>
            <w:tcW w:w="80" w:type="dxa"/>
            <w:vAlign w:val="bottom"/>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DEE0F9"/>
            </w:tcBorders>
            <w:shd w:val="clear" w:color="auto" w:fill="DEE0F9"/>
          </w:tcPr>
          <w:p>
            <w:pPr>
              <w:spacing w:after="0"/>
              <w:rPr>
                <w:sz w:val="24"/>
                <w:szCs w:val="24"/>
                <w:color w:val="auto"/>
              </w:rPr>
            </w:pPr>
          </w:p>
        </w:tc>
        <w:tc>
          <w:tcPr>
            <w:tcW w:w="220" w:type="dxa"/>
            <w:vAlign w:val="bottom"/>
            <w:vMerge w:val="continue"/>
            <w:shd w:val="clear" w:color="auto" w:fill="DEE0F9"/>
          </w:tcPr>
          <w:p>
            <w:pPr>
              <w:spacing w:after="0"/>
              <w:rPr>
                <w:sz w:val="24"/>
                <w:szCs w:val="24"/>
                <w:color w:val="auto"/>
              </w:rPr>
            </w:pPr>
          </w:p>
        </w:tc>
        <w:tc>
          <w:tcPr>
            <w:tcW w:w="10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E0F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5"/>
              </w:rPr>
              <w:t>(6)</w:t>
            </w:r>
          </w:p>
        </w:tc>
        <w:tc>
          <w:tcPr>
            <w:tcW w:w="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ind w:lef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 ​ ​</w:t>
            </w:r>
          </w:p>
        </w:tc>
        <w:tc>
          <w:tcPr>
            <w:tcW w:w="440" w:type="dxa"/>
            <w:vAlign w:val="bottom"/>
          </w:tcPr>
          <w:p>
            <w:pPr>
              <w:spacing w:after="0"/>
              <w:rPr>
                <w:sz w:val="12"/>
                <w:szCs w:val="12"/>
                <w:color w:val="auto"/>
              </w:rPr>
            </w:pPr>
          </w:p>
        </w:tc>
        <w:tc>
          <w:tcPr>
            <w:tcW w:w="2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2"/>
                <w:szCs w:val="12"/>
                <w:color w:val="auto"/>
              </w:rPr>
            </w:pPr>
          </w:p>
        </w:tc>
        <w:tc>
          <w:tcPr>
            <w:tcW w:w="22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020" w:type="dxa"/>
            <w:vAlign w:val="bottom"/>
            <w:gridSpan w:val="5"/>
          </w:tcPr>
          <w:p>
            <w:pPr>
              <w:jc w:val="right"/>
              <w:spacing w:after="0" w:line="103" w:lineRule="exact"/>
              <w:rPr>
                <w:sz w:val="20"/>
                <w:szCs w:val="20"/>
                <w:color w:val="auto"/>
              </w:rPr>
            </w:pPr>
            <w:r>
              <w:rPr>
                <w:rFonts w:ascii="Times New Roman" w:cs="Times New Roman" w:eastAsia="Times New Roman" w:hAnsi="Times New Roman"/>
                <w:sz w:val="11"/>
                <w:szCs w:val="11"/>
                <w:color w:val="auto"/>
              </w:rPr>
              <w:t>11/17/2023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312,455</w:t>
            </w:r>
          </w:p>
        </w:tc>
        <w:tc>
          <w:tcPr>
            <w:tcW w:w="220" w:type="dxa"/>
            <w:vAlign w:val="bottom"/>
          </w:tcPr>
          <w:p>
            <w:pPr>
              <w:spacing w:after="0"/>
              <w:rPr>
                <w:sz w:val="8"/>
                <w:szCs w:val="8"/>
                <w:color w:val="auto"/>
              </w:rPr>
            </w:pPr>
          </w:p>
        </w:tc>
        <w:tc>
          <w:tcPr>
            <w:tcW w:w="8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$1,849,734</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2/6/2025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98,333</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2/5/2035</w:t>
            </w:r>
          </w:p>
        </w:tc>
        <w:tc>
          <w:tcPr>
            <w:tcW w:w="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5"/>
                <w:szCs w:val="15"/>
                <w:color w:val="auto"/>
              </w:rPr>
            </w:pPr>
          </w:p>
        </w:tc>
        <w:tc>
          <w:tcPr>
            <w:tcW w:w="22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59"/>
              <w:spacing w:after="0" w:line="135" w:lineRule="exact"/>
              <w:rPr>
                <w:sz w:val="20"/>
                <w:szCs w:val="20"/>
                <w:color w:val="auto"/>
              </w:rPr>
            </w:pPr>
            <w:r>
              <w:rPr>
                <w:rFonts w:ascii="Times New Roman" w:cs="Times New Roman" w:eastAsia="Times New Roman" w:hAnsi="Times New Roman"/>
                <w:sz w:val="15"/>
                <w:szCs w:val="15"/>
                <w:color w:val="auto"/>
              </w:rPr>
              <w:t>373,667</w:t>
            </w: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2/6/2025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(8</w:t>
            </w:r>
          </w:p>
        </w:tc>
        <w:tc>
          <w:tcPr>
            <w:tcW w:w="4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gridSpan w:val="2"/>
            <w:shd w:val="clear" w:color="auto" w:fill="DEE0F9"/>
          </w:tcPr>
          <w:p>
            <w:pPr>
              <w:ind w:left="2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DEE0F9"/>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DEE0F9"/>
            </w:tcBorders>
            <w:shd w:val="clear" w:color="auto" w:fill="DEE0F9"/>
          </w:tcPr>
          <w:p>
            <w:pPr>
              <w:spacing w:after="0"/>
              <w:rPr>
                <w:sz w:val="12"/>
                <w:szCs w:val="12"/>
                <w:color w:val="auto"/>
              </w:rPr>
            </w:pPr>
          </w:p>
        </w:tc>
        <w:tc>
          <w:tcPr>
            <w:tcW w:w="200" w:type="dxa"/>
            <w:vAlign w:val="bottom"/>
            <w:shd w:val="clear" w:color="auto" w:fill="DEE0F9"/>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DEE0F9"/>
          </w:tcPr>
          <w:p>
            <w:pPr>
              <w:ind w:lef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DEE0F9"/>
            </w:tcBorders>
            <w:shd w:val="clear" w:color="auto" w:fill="DEE0F9"/>
          </w:tcPr>
          <w:p>
            <w:pPr>
              <w:spacing w:after="0"/>
              <w:rPr>
                <w:sz w:val="12"/>
                <w:szCs w:val="12"/>
                <w:color w:val="auto"/>
              </w:rPr>
            </w:pPr>
          </w:p>
        </w:tc>
        <w:tc>
          <w:tcPr>
            <w:tcW w:w="340" w:type="dxa"/>
            <w:vAlign w:val="bottom"/>
            <w:gridSpan w:val="2"/>
            <w:shd w:val="clear" w:color="auto" w:fill="DEE0F9"/>
          </w:tcPr>
          <w:p>
            <w:pPr>
              <w:spacing w:after="0" w:line="149" w:lineRule="exact"/>
              <w:rPr>
                <w:sz w:val="20"/>
                <w:szCs w:val="20"/>
                <w:color w:val="auto"/>
              </w:rPr>
            </w:pPr>
            <w:r>
              <w:rPr>
                <w:rFonts w:ascii="Times New Roman" w:cs="Times New Roman" w:eastAsia="Times New Roman" w:hAnsi="Times New Roman"/>
                <w:sz w:val="17"/>
                <w:szCs w:val="17"/>
                <w:color w:val="auto"/>
              </w:rPr>
              <w:t>​​ ​ ​</w:t>
            </w:r>
          </w:p>
        </w:tc>
        <w:tc>
          <w:tcPr>
            <w:tcW w:w="440" w:type="dxa"/>
            <w:vAlign w:val="bottom"/>
            <w:tcBorders>
              <w:right w:val="single" w:sz="8" w:color="DEE0F9"/>
            </w:tcBorders>
            <w:shd w:val="clear" w:color="auto" w:fill="DEE0F9"/>
          </w:tcPr>
          <w:p>
            <w:pPr>
              <w:spacing w:after="0"/>
              <w:rPr>
                <w:sz w:val="12"/>
                <w:szCs w:val="12"/>
                <w:color w:val="auto"/>
              </w:rPr>
            </w:pPr>
          </w:p>
        </w:tc>
        <w:tc>
          <w:tcPr>
            <w:tcW w:w="240" w:type="dxa"/>
            <w:vAlign w:val="bottom"/>
            <w:gridSpan w:val="2"/>
            <w:shd w:val="clear" w:color="auto" w:fill="DEE0F9"/>
          </w:tcPr>
          <w:p>
            <w:pPr>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DEE0F9"/>
          </w:tcPr>
          <w:p>
            <w:pPr>
              <w:spacing w:after="0"/>
              <w:rPr>
                <w:sz w:val="12"/>
                <w:szCs w:val="12"/>
                <w:color w:val="auto"/>
              </w:rPr>
            </w:pPr>
          </w:p>
        </w:tc>
        <w:tc>
          <w:tcPr>
            <w:tcW w:w="20" w:type="dxa"/>
            <w:vAlign w:val="bottom"/>
            <w:shd w:val="clear" w:color="auto" w:fill="DEE0F9"/>
          </w:tcPr>
          <w:p>
            <w:pPr>
              <w:spacing w:after="0"/>
              <w:rPr>
                <w:sz w:val="12"/>
                <w:szCs w:val="12"/>
                <w:color w:val="auto"/>
              </w:rPr>
            </w:pPr>
          </w:p>
        </w:tc>
        <w:tc>
          <w:tcPr>
            <w:tcW w:w="180" w:type="dxa"/>
            <w:vAlign w:val="bottom"/>
            <w:shd w:val="clear" w:color="auto" w:fill="DEE0F9"/>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EE0F9"/>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right w:val="single" w:sz="8" w:color="DEE0F9"/>
            </w:tcBorders>
            <w:shd w:val="clear" w:color="auto" w:fill="DEE0F9"/>
          </w:tcPr>
          <w:p>
            <w:pPr>
              <w:spacing w:after="0"/>
              <w:rPr>
                <w:sz w:val="12"/>
                <w:szCs w:val="12"/>
                <w:color w:val="auto"/>
              </w:rPr>
            </w:pPr>
          </w:p>
        </w:tc>
        <w:tc>
          <w:tcPr>
            <w:tcW w:w="220" w:type="dxa"/>
            <w:vAlign w:val="bottom"/>
            <w:shd w:val="clear" w:color="auto" w:fill="DEE0F9"/>
          </w:tcPr>
          <w:p>
            <w:pPr>
              <w:jc w:val="right"/>
              <w:ind w:right="92"/>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EE0F9"/>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686,720</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shd w:val="clear" w:color="auto" w:fill="DEE0F9"/>
          </w:tcPr>
          <w:p>
            <w:pPr>
              <w:spacing w:after="0"/>
              <w:rPr>
                <w:sz w:val="11"/>
                <w:szCs w:val="11"/>
                <w:color w:val="auto"/>
              </w:rPr>
            </w:pPr>
          </w:p>
        </w:tc>
        <w:tc>
          <w:tcPr>
            <w:tcW w:w="60" w:type="dxa"/>
            <w:vAlign w:val="bottom"/>
            <w:shd w:val="clear" w:color="auto" w:fill="DEE0F9"/>
          </w:tcPr>
          <w:p>
            <w:pPr>
              <w:spacing w:after="0"/>
              <w:rPr>
                <w:sz w:val="11"/>
                <w:szCs w:val="11"/>
                <w:color w:val="auto"/>
              </w:rPr>
            </w:pPr>
          </w:p>
        </w:tc>
        <w:tc>
          <w:tcPr>
            <w:tcW w:w="100" w:type="dxa"/>
            <w:vAlign w:val="bottom"/>
            <w:shd w:val="clear" w:color="auto" w:fill="DEE0F9"/>
          </w:tcPr>
          <w:p>
            <w:pPr>
              <w:spacing w:after="0"/>
              <w:rPr>
                <w:sz w:val="11"/>
                <w:szCs w:val="11"/>
                <w:color w:val="auto"/>
              </w:rPr>
            </w:pPr>
          </w:p>
        </w:tc>
        <w:tc>
          <w:tcPr>
            <w:tcW w:w="120" w:type="dxa"/>
            <w:vAlign w:val="bottom"/>
            <w:shd w:val="clear" w:color="auto" w:fill="DEE0F9"/>
          </w:tcPr>
          <w:p>
            <w:pPr>
              <w:spacing w:after="0"/>
              <w:rPr>
                <w:sz w:val="11"/>
                <w:szCs w:val="11"/>
                <w:color w:val="auto"/>
              </w:rPr>
            </w:pPr>
          </w:p>
        </w:tc>
        <w:tc>
          <w:tcPr>
            <w:tcW w:w="620" w:type="dxa"/>
            <w:vAlign w:val="bottom"/>
            <w:tcBorders>
              <w:right w:val="single" w:sz="8" w:color="DEE0F9"/>
            </w:tcBorders>
            <w:shd w:val="clear" w:color="auto" w:fill="DEE0F9"/>
          </w:tcPr>
          <w:p>
            <w:pPr>
              <w:spacing w:after="0"/>
              <w:rPr>
                <w:sz w:val="11"/>
                <w:szCs w:val="11"/>
                <w:color w:val="auto"/>
              </w:rPr>
            </w:pPr>
          </w:p>
        </w:tc>
        <w:tc>
          <w:tcPr>
            <w:tcW w:w="200" w:type="dxa"/>
            <w:vAlign w:val="bottom"/>
            <w:shd w:val="clear" w:color="auto" w:fill="DEE0F9"/>
          </w:tcPr>
          <w:p>
            <w:pPr>
              <w:spacing w:after="0"/>
              <w:rPr>
                <w:sz w:val="11"/>
                <w:szCs w:val="11"/>
                <w:color w:val="auto"/>
              </w:rPr>
            </w:pPr>
          </w:p>
        </w:tc>
        <w:tc>
          <w:tcPr>
            <w:tcW w:w="180" w:type="dxa"/>
            <w:vAlign w:val="bottom"/>
            <w:shd w:val="clear" w:color="auto" w:fill="DEE0F9"/>
          </w:tcPr>
          <w:p>
            <w:pPr>
              <w:spacing w:after="0"/>
              <w:rPr>
                <w:sz w:val="11"/>
                <w:szCs w:val="11"/>
                <w:color w:val="auto"/>
              </w:rPr>
            </w:pPr>
          </w:p>
        </w:tc>
        <w:tc>
          <w:tcPr>
            <w:tcW w:w="680" w:type="dxa"/>
            <w:vAlign w:val="bottom"/>
            <w:tcBorders>
              <w:right w:val="single" w:sz="8" w:color="DEE0F9"/>
            </w:tcBorders>
            <w:shd w:val="clear" w:color="auto" w:fill="DEE0F9"/>
          </w:tcPr>
          <w:p>
            <w:pPr>
              <w:spacing w:after="0"/>
              <w:rPr>
                <w:sz w:val="11"/>
                <w:szCs w:val="11"/>
                <w:color w:val="auto"/>
              </w:rPr>
            </w:pPr>
          </w:p>
        </w:tc>
        <w:tc>
          <w:tcPr>
            <w:tcW w:w="200" w:type="dxa"/>
            <w:vAlign w:val="bottom"/>
            <w:shd w:val="clear" w:color="auto" w:fill="DEE0F9"/>
          </w:tcPr>
          <w:p>
            <w:pPr>
              <w:spacing w:after="0"/>
              <w:rPr>
                <w:sz w:val="11"/>
                <w:szCs w:val="11"/>
                <w:color w:val="auto"/>
              </w:rPr>
            </w:pPr>
          </w:p>
        </w:tc>
        <w:tc>
          <w:tcPr>
            <w:tcW w:w="140" w:type="dxa"/>
            <w:vAlign w:val="bottom"/>
            <w:shd w:val="clear" w:color="auto" w:fill="DEE0F9"/>
          </w:tcPr>
          <w:p>
            <w:pPr>
              <w:spacing w:after="0"/>
              <w:rPr>
                <w:sz w:val="11"/>
                <w:szCs w:val="11"/>
                <w:color w:val="auto"/>
              </w:rPr>
            </w:pPr>
          </w:p>
        </w:tc>
        <w:tc>
          <w:tcPr>
            <w:tcW w:w="440" w:type="dxa"/>
            <w:vAlign w:val="bottom"/>
            <w:tcBorders>
              <w:right w:val="single" w:sz="8" w:color="DEE0F9"/>
            </w:tcBorders>
            <w:shd w:val="clear" w:color="auto" w:fill="DEE0F9"/>
          </w:tcPr>
          <w:p>
            <w:pPr>
              <w:spacing w:after="0"/>
              <w:rPr>
                <w:sz w:val="11"/>
                <w:szCs w:val="11"/>
                <w:color w:val="auto"/>
              </w:rPr>
            </w:pPr>
          </w:p>
        </w:tc>
        <w:tc>
          <w:tcPr>
            <w:tcW w:w="180" w:type="dxa"/>
            <w:vAlign w:val="bottom"/>
            <w:shd w:val="clear" w:color="auto" w:fill="DEE0F9"/>
          </w:tcPr>
          <w:p>
            <w:pPr>
              <w:spacing w:after="0"/>
              <w:rPr>
                <w:sz w:val="11"/>
                <w:szCs w:val="11"/>
                <w:color w:val="auto"/>
              </w:rPr>
            </w:pPr>
          </w:p>
        </w:tc>
        <w:tc>
          <w:tcPr>
            <w:tcW w:w="60" w:type="dxa"/>
            <w:vAlign w:val="bottom"/>
            <w:shd w:val="clear" w:color="auto" w:fill="DEE0F9"/>
          </w:tcPr>
          <w:p>
            <w:pPr>
              <w:spacing w:after="0"/>
              <w:rPr>
                <w:sz w:val="11"/>
                <w:szCs w:val="11"/>
                <w:color w:val="auto"/>
              </w:rPr>
            </w:pPr>
          </w:p>
        </w:tc>
        <w:tc>
          <w:tcPr>
            <w:tcW w:w="780" w:type="dxa"/>
            <w:vAlign w:val="bottom"/>
            <w:shd w:val="clear" w:color="auto" w:fill="DEE0F9"/>
          </w:tcPr>
          <w:p>
            <w:pPr>
              <w:spacing w:after="0"/>
              <w:rPr>
                <w:sz w:val="11"/>
                <w:szCs w:val="11"/>
                <w:color w:val="auto"/>
              </w:rPr>
            </w:pPr>
          </w:p>
        </w:tc>
        <w:tc>
          <w:tcPr>
            <w:tcW w:w="20" w:type="dxa"/>
            <w:vAlign w:val="bottom"/>
            <w:shd w:val="clear" w:color="auto" w:fill="DEE0F9"/>
          </w:tcPr>
          <w:p>
            <w:pPr>
              <w:spacing w:after="0"/>
              <w:rPr>
                <w:sz w:val="11"/>
                <w:szCs w:val="11"/>
                <w:color w:val="auto"/>
              </w:rPr>
            </w:pPr>
          </w:p>
        </w:tc>
        <w:tc>
          <w:tcPr>
            <w:tcW w:w="180" w:type="dxa"/>
            <w:vAlign w:val="bottom"/>
            <w:shd w:val="clear" w:color="auto" w:fill="DEE0F9"/>
          </w:tcPr>
          <w:p>
            <w:pPr>
              <w:spacing w:after="0"/>
              <w:rPr>
                <w:sz w:val="11"/>
                <w:szCs w:val="11"/>
                <w:color w:val="auto"/>
              </w:rPr>
            </w:pPr>
          </w:p>
        </w:tc>
        <w:tc>
          <w:tcPr>
            <w:tcW w:w="680" w:type="dxa"/>
            <w:vAlign w:val="bottom"/>
            <w:tcBorders>
              <w:right w:val="single" w:sz="8" w:color="DEE0F9"/>
            </w:tcBorders>
            <w:gridSpan w:val="2"/>
            <w:shd w:val="clear" w:color="auto" w:fill="DEE0F9"/>
          </w:tcPr>
          <w:p>
            <w:pPr>
              <w:jc w:val="right"/>
              <w:spacing w:after="0" w:line="135" w:lineRule="exact"/>
              <w:rPr>
                <w:sz w:val="20"/>
                <w:szCs w:val="20"/>
                <w:color w:val="auto"/>
              </w:rPr>
            </w:pPr>
            <w:r>
              <w:rPr>
                <w:rFonts w:ascii="Times New Roman" w:cs="Times New Roman" w:eastAsia="Times New Roman" w:hAnsi="Times New Roman"/>
                <w:sz w:val="15"/>
                <w:szCs w:val="15"/>
                <w:color w:val="auto"/>
              </w:rPr>
              <w:t>116,000</w:t>
            </w:r>
          </w:p>
        </w:tc>
        <w:tc>
          <w:tcPr>
            <w:tcW w:w="220" w:type="dxa"/>
            <w:vAlign w:val="bottom"/>
            <w:shd w:val="clear" w:color="auto" w:fill="DEE0F9"/>
          </w:tcPr>
          <w:p>
            <w:pPr>
              <w:spacing w:after="0"/>
              <w:rPr>
                <w:sz w:val="11"/>
                <w:szCs w:val="11"/>
                <w:color w:val="auto"/>
              </w:rPr>
            </w:pPr>
          </w:p>
        </w:tc>
        <w:tc>
          <w:tcPr>
            <w:tcW w:w="100" w:type="dxa"/>
            <w:vAlign w:val="bottom"/>
            <w:shd w:val="clear" w:color="auto" w:fill="DEE0F9"/>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continue"/>
            <w:shd w:val="clear" w:color="auto" w:fill="DEE0F9"/>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Elizabeth Rozek</w:t>
            </w:r>
          </w:p>
        </w:tc>
        <w:tc>
          <w:tcPr>
            <w:tcW w:w="1160" w:type="dxa"/>
            <w:vAlign w:val="bottom"/>
            <w:gridSpan w:val="7"/>
          </w:tcPr>
          <w:p>
            <w:pPr>
              <w:jc w:val="right"/>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4/20/2023</w:t>
            </w:r>
            <w:r>
              <w:rPr>
                <w:rFonts w:ascii="Times New Roman" w:cs="Times New Roman" w:eastAsia="Times New Roman" w:hAnsi="Times New Roman"/>
                <w:sz w:val="21"/>
                <w:szCs w:val="21"/>
                <w:color w:val="auto"/>
                <w:vertAlign w:val="superscript"/>
              </w:rPr>
              <w:t>(9)</w:t>
            </w:r>
          </w:p>
        </w:tc>
        <w:tc>
          <w:tcPr>
            <w:tcW w:w="900" w:type="dxa"/>
            <w:vAlign w:val="bottom"/>
            <w:gridSpan w:val="4"/>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161,438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1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80,704</w:t>
            </w:r>
          </w:p>
        </w:tc>
        <w:tc>
          <w:tcPr>
            <w:tcW w:w="780" w:type="dxa"/>
            <w:vAlign w:val="bottom"/>
            <w:gridSpan w:val="3"/>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 ​ ​</w:t>
            </w:r>
            <w:r>
              <w:rPr>
                <w:rFonts w:ascii="Times New Roman" w:cs="Times New Roman" w:eastAsia="Times New Roman" w:hAnsi="Times New Roman"/>
                <w:sz w:val="17"/>
                <w:szCs w:val="17"/>
                <w:color w:val="auto"/>
              </w:rPr>
              <w:t>$13.51</w:t>
            </w:r>
          </w:p>
        </w:tc>
        <w:tc>
          <w:tcPr>
            <w:tcW w:w="1220" w:type="dxa"/>
            <w:vAlign w:val="bottom"/>
            <w:gridSpan w:val="5"/>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4/19/2033 </w:t>
            </w:r>
            <w:r>
              <w:rPr>
                <w:rFonts w:ascii="Times New Roman" w:cs="Times New Roman" w:eastAsia="Times New Roman" w:hAnsi="Times New Roman"/>
                <w:sz w:val="32"/>
                <w:szCs w:val="32"/>
                <w:color w:val="auto"/>
                <w:vertAlign w:val="super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5"/>
              </w:rPr>
              <w:t>(6)</w:t>
            </w:r>
          </w:p>
        </w:tc>
        <w:tc>
          <w:tcPr>
            <w:tcW w:w="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5"/>
                <w:szCs w:val="15"/>
                <w:color w:val="auto"/>
              </w:rPr>
            </w:pPr>
          </w:p>
        </w:tc>
        <w:tc>
          <w:tcPr>
            <w:tcW w:w="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85,710</w:t>
            </w:r>
          </w:p>
        </w:tc>
        <w:tc>
          <w:tcPr>
            <w:tcW w:w="22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507,403</w:t>
            </w: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020" w:type="dxa"/>
            <w:vAlign w:val="bottom"/>
            <w:gridSpan w:val="5"/>
          </w:tcPr>
          <w:p>
            <w:pPr>
              <w:jc w:val="right"/>
              <w:spacing w:after="0" w:line="103" w:lineRule="exact"/>
              <w:rPr>
                <w:sz w:val="20"/>
                <w:szCs w:val="20"/>
                <w:color w:val="auto"/>
              </w:rPr>
            </w:pPr>
            <w:r>
              <w:rPr>
                <w:rFonts w:ascii="Times New Roman" w:cs="Times New Roman" w:eastAsia="Times New Roman" w:hAnsi="Times New Roman"/>
                <w:sz w:val="11"/>
                <w:szCs w:val="11"/>
                <w:color w:val="auto"/>
              </w:rPr>
              <w:t>11/17/2023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2/6/2025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5"/>
              </w:rPr>
              <w:t>(7)</w:t>
            </w:r>
          </w:p>
        </w:tc>
        <w:tc>
          <w:tcPr>
            <w:tcW w:w="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2/5/2035</w:t>
            </w:r>
          </w:p>
        </w:tc>
        <w:tc>
          <w:tcPr>
            <w:tcW w:w="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5"/>
                <w:szCs w:val="15"/>
                <w:color w:val="auto"/>
              </w:rPr>
            </w:pPr>
          </w:p>
        </w:tc>
        <w:tc>
          <w:tcPr>
            <w:tcW w:w="22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right"/>
              <w:ind w:right="59"/>
              <w:spacing w:after="0" w:line="103" w:lineRule="exact"/>
              <w:rPr>
                <w:sz w:val="20"/>
                <w:szCs w:val="20"/>
                <w:color w:val="auto"/>
              </w:rPr>
            </w:pPr>
            <w:r>
              <w:rPr>
                <w:rFonts w:ascii="Times New Roman" w:cs="Times New Roman" w:eastAsia="Times New Roman" w:hAnsi="Times New Roman"/>
                <w:sz w:val="11"/>
                <w:szCs w:val="11"/>
                <w:color w:val="auto"/>
              </w:rPr>
              <w:t>109,250</w:t>
            </w:r>
          </w:p>
        </w:tc>
        <w:tc>
          <w:tcPr>
            <w:tcW w:w="3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2/6/2025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5"/>
              </w:rPr>
              <w:t>(8)</w:t>
            </w:r>
          </w:p>
        </w:tc>
        <w:tc>
          <w:tcPr>
            <w:tcW w:w="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5"/>
                <w:szCs w:val="15"/>
                <w:color w:val="auto"/>
              </w:rPr>
            </w:pPr>
          </w:p>
        </w:tc>
        <w:tc>
          <w:tcPr>
            <w:tcW w:w="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2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201,280</w:t>
            </w: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11/4/2025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5"/>
              </w:rPr>
              <w:t>(7)</w:t>
            </w:r>
          </w:p>
        </w:tc>
        <w:tc>
          <w:tcPr>
            <w:tcW w:w="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59"/>
              <w:spacing w:after="0"/>
              <w:rPr>
                <w:sz w:val="20"/>
                <w:szCs w:val="20"/>
                <w:color w:val="auto"/>
              </w:rPr>
            </w:pPr>
            <w:r>
              <w:rPr>
                <w:rFonts w:ascii="Times New Roman" w:cs="Times New Roman" w:eastAsia="Times New Roman" w:hAnsi="Times New Roman"/>
                <w:sz w:val="18"/>
                <w:szCs w:val="18"/>
                <w:color w:val="auto"/>
              </w:rPr>
              <w:t>13,089</w:t>
            </w: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11/3/2035</w:t>
            </w:r>
          </w:p>
        </w:tc>
        <w:tc>
          <w:tcPr>
            <w:tcW w:w="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5"/>
                <w:szCs w:val="15"/>
                <w:color w:val="auto"/>
              </w:rPr>
            </w:pPr>
          </w:p>
        </w:tc>
        <w:tc>
          <w:tcPr>
            <w:tcW w:w="22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11/4/2025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5"/>
              </w:rPr>
              <w:t>(8)</w:t>
            </w:r>
          </w:p>
        </w:tc>
        <w:tc>
          <w:tcPr>
            <w:tcW w:w="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5"/>
                <w:szCs w:val="15"/>
                <w:color w:val="auto"/>
              </w:rPr>
            </w:pPr>
          </w:p>
        </w:tc>
        <w:tc>
          <w:tcPr>
            <w:tcW w:w="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22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58,342</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Eduardo Bruno</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DEE0F9"/>
            </w:tcBorders>
            <w:gridSpan w:val="6"/>
            <w:shd w:val="clear" w:color="auto" w:fill="DEE0F9"/>
          </w:tcPr>
          <w:p>
            <w:pPr>
              <w:jc w:val="right"/>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2/19/2021</w:t>
            </w:r>
            <w:r>
              <w:rPr>
                <w:rFonts w:ascii="Times New Roman" w:cs="Times New Roman" w:eastAsia="Times New Roman" w:hAnsi="Times New Roman"/>
                <w:sz w:val="20"/>
                <w:szCs w:val="20"/>
                <w:color w:val="auto"/>
                <w:vertAlign w:val="superscript"/>
              </w:rPr>
              <w:t>(5)</w:t>
            </w:r>
          </w:p>
        </w:tc>
        <w:tc>
          <w:tcPr>
            <w:tcW w:w="900" w:type="dxa"/>
            <w:vAlign w:val="bottom"/>
            <w:tcBorders>
              <w:bottom w:val="single" w:sz="8" w:color="DEE0F9"/>
              <w:right w:val="single" w:sz="8" w:color="DEE0F9"/>
            </w:tcBorders>
            <w:gridSpan w:val="4"/>
            <w:shd w:val="clear" w:color="auto" w:fill="DEE0F9"/>
          </w:tcPr>
          <w:p>
            <w:pPr>
              <w:ind w:left="20"/>
              <w:spacing w:after="0" w:line="252" w:lineRule="exact"/>
              <w:rPr>
                <w:sz w:val="20"/>
                <w:szCs w:val="20"/>
                <w:color w:val="auto"/>
              </w:rPr>
            </w:pPr>
            <w:r>
              <w:rPr>
                <w:rFonts w:ascii="Times New Roman" w:cs="Times New Roman" w:eastAsia="Times New Roman" w:hAnsi="Times New Roman"/>
                <w:sz w:val="29"/>
                <w:szCs w:val="29"/>
                <w:color w:val="auto"/>
                <w:vertAlign w:val="superscript"/>
              </w:rPr>
              <w:t>​ ​ ​</w:t>
            </w:r>
            <w:r>
              <w:rPr>
                <w:rFonts w:ascii="Times New Roman" w:cs="Times New Roman" w:eastAsia="Times New Roman" w:hAnsi="Times New Roman"/>
                <w:sz w:val="16"/>
                <w:szCs w:val="16"/>
                <w:color w:val="auto"/>
              </w:rPr>
              <w:t>198,132</w:t>
            </w:r>
          </w:p>
        </w:tc>
        <w:tc>
          <w:tcPr>
            <w:tcW w:w="200" w:type="dxa"/>
            <w:vAlign w:val="bottom"/>
            <w:tcBorders>
              <w:bottom w:val="single" w:sz="8" w:color="DEE0F9"/>
            </w:tcBorders>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DEE0F9"/>
            </w:tcBorders>
            <w:shd w:val="clear" w:color="auto" w:fill="DEE0F9"/>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DEE0F9"/>
              <w:right w:val="single" w:sz="8" w:color="DEE0F9"/>
            </w:tcBorders>
            <w:shd w:val="clear" w:color="auto" w:fill="DEE0F9"/>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DEE0F9"/>
            </w:tcBorders>
            <w:gridSpan w:val="2"/>
            <w:shd w:val="clear" w:color="auto" w:fill="DEE0F9"/>
          </w:tcPr>
          <w:p>
            <w:pPr>
              <w:spacing w:after="0" w:line="252"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29"/>
                <w:szCs w:val="29"/>
                <w:color w:val="auto"/>
                <w:vertAlign w:val="subscript"/>
              </w:rPr>
              <w:t>$</w:t>
            </w:r>
          </w:p>
        </w:tc>
        <w:tc>
          <w:tcPr>
            <w:tcW w:w="440" w:type="dxa"/>
            <w:vAlign w:val="bottom"/>
            <w:tcBorders>
              <w:bottom w:val="single" w:sz="8" w:color="DEE0F9"/>
              <w:right w:val="single" w:sz="8" w:color="DEE0F9"/>
            </w:tcBorders>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20" w:type="dxa"/>
            <w:vAlign w:val="bottom"/>
            <w:tcBorders>
              <w:bottom w:val="single" w:sz="8" w:color="DEE0F9"/>
            </w:tcBorders>
            <w:gridSpan w:val="5"/>
            <w:shd w:val="clear" w:color="auto" w:fill="DEE0F9"/>
          </w:tcPr>
          <w:p>
            <w:pPr>
              <w:spacing w:after="0" w:line="252"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2/18/2031 </w:t>
            </w:r>
            <w:r>
              <w:rPr>
                <w:rFonts w:ascii="Times New Roman" w:cs="Times New Roman" w:eastAsia="Times New Roman" w:hAnsi="Times New Roman"/>
                <w:sz w:val="29"/>
                <w:szCs w:val="29"/>
                <w:color w:val="auto"/>
                <w:vertAlign w:val="superscript"/>
              </w:rPr>
              <w:t>​</w:t>
            </w:r>
          </w:p>
        </w:tc>
        <w:tc>
          <w:tcPr>
            <w:tcW w:w="80" w:type="dxa"/>
            <w:vAlign w:val="bottom"/>
            <w:tcBorders>
              <w:bottom w:val="single" w:sz="8" w:color="DEE0F9"/>
            </w:tcBorders>
            <w:shd w:val="clear" w:color="auto" w:fill="DEE0F9"/>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DEE0F9"/>
              <w:right w:val="single" w:sz="8" w:color="DEE0F9"/>
            </w:tcBorders>
            <w:shd w:val="clear" w:color="auto" w:fill="DEE0F9"/>
          </w:tcPr>
          <w:p>
            <w:pPr>
              <w:spacing w:after="0"/>
              <w:rPr>
                <w:sz w:val="24"/>
                <w:szCs w:val="24"/>
                <w:color w:val="auto"/>
              </w:rPr>
            </w:pPr>
          </w:p>
        </w:tc>
        <w:tc>
          <w:tcPr>
            <w:tcW w:w="220" w:type="dxa"/>
            <w:vAlign w:val="bottom"/>
            <w:tcBorders>
              <w:bottom w:val="single" w:sz="8" w:color="DEE0F9"/>
            </w:tcBorders>
            <w:shd w:val="clear" w:color="auto" w:fill="DEE0F9"/>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EE0F9"/>
            </w:tcBorders>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EE0F9"/>
            </w:tcBorders>
            <w:shd w:val="clear" w:color="auto" w:fill="DEE0F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Martins, M.D.,</w:t>
            </w:r>
          </w:p>
        </w:tc>
        <w:tc>
          <w:tcPr>
            <w:tcW w:w="100" w:type="dxa"/>
            <w:vAlign w:val="bottom"/>
          </w:tcPr>
          <w:p>
            <w:pPr>
              <w:spacing w:after="0"/>
              <w:rPr>
                <w:sz w:val="12"/>
                <w:szCs w:val="12"/>
                <w:color w:val="auto"/>
              </w:rPr>
            </w:pP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4/20/2023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5"/>
              </w:rPr>
              <w:t>(7)</w:t>
            </w:r>
          </w:p>
        </w:tc>
        <w:tc>
          <w:tcPr>
            <w:tcW w:w="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ind w:lef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ind w:right="59"/>
              <w:spacing w:after="0"/>
              <w:rPr>
                <w:sz w:val="20"/>
                <w:szCs w:val="20"/>
                <w:color w:val="auto"/>
              </w:rPr>
            </w:pPr>
            <w:r>
              <w:rPr>
                <w:rFonts w:ascii="Times New Roman" w:cs="Times New Roman" w:eastAsia="Times New Roman" w:hAnsi="Times New Roman"/>
                <w:sz w:val="18"/>
                <w:szCs w:val="18"/>
                <w:color w:val="auto"/>
              </w:rPr>
              <w:t>14,665</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 ​ ​</w:t>
            </w:r>
          </w:p>
        </w:tc>
        <w:tc>
          <w:tcPr>
            <w:tcW w:w="440" w:type="dxa"/>
            <w:vAlign w:val="bottom"/>
          </w:tcPr>
          <w:p>
            <w:pPr>
              <w:spacing w:after="0"/>
              <w:rPr>
                <w:sz w:val="12"/>
                <w:szCs w:val="12"/>
                <w:color w:val="auto"/>
              </w:rPr>
            </w:pPr>
          </w:p>
        </w:tc>
        <w:tc>
          <w:tcPr>
            <w:tcW w:w="2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4/19/2033</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2"/>
                <w:szCs w:val="12"/>
                <w:color w:val="auto"/>
              </w:rPr>
            </w:pPr>
          </w:p>
        </w:tc>
        <w:tc>
          <w:tcPr>
            <w:tcW w:w="22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D.Phil.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gridSpan w:val="3"/>
          </w:tcPr>
          <w:p>
            <w:pPr>
              <w:jc w:val="right"/>
              <w:spacing w:after="0" w:line="90" w:lineRule="exact"/>
              <w:rPr>
                <w:sz w:val="20"/>
                <w:szCs w:val="20"/>
                <w:color w:val="auto"/>
              </w:rPr>
            </w:pPr>
            <w:r>
              <w:rPr>
                <w:rFonts w:ascii="Times New Roman" w:cs="Times New Roman" w:eastAsia="Times New Roman" w:hAnsi="Times New Roman"/>
                <w:sz w:val="10"/>
                <w:szCs w:val="10"/>
                <w:color w:val="auto"/>
              </w:rPr>
              <w:t>$13.51</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rPr>
                <w:sz w:val="15"/>
                <w:szCs w:val="15"/>
                <w:color w:val="auto"/>
              </w:rPr>
            </w:pPr>
          </w:p>
        </w:tc>
        <w:tc>
          <w:tcPr>
            <w:tcW w:w="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22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265,127</w:t>
            </w: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020" w:type="dxa"/>
            <w:vAlign w:val="bottom"/>
            <w:gridSpan w:val="5"/>
          </w:tcPr>
          <w:p>
            <w:pPr>
              <w:jc w:val="right"/>
              <w:spacing w:after="0" w:line="103" w:lineRule="exact"/>
              <w:rPr>
                <w:sz w:val="20"/>
                <w:szCs w:val="20"/>
                <w:color w:val="auto"/>
              </w:rPr>
            </w:pPr>
            <w:r>
              <w:rPr>
                <w:rFonts w:ascii="Times New Roman" w:cs="Times New Roman" w:eastAsia="Times New Roman" w:hAnsi="Times New Roman"/>
                <w:sz w:val="11"/>
                <w:szCs w:val="11"/>
                <w:color w:val="auto"/>
              </w:rPr>
              <w:t>11/17/2023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vMerge w:val="restart"/>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2/6/2025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(7</w:t>
            </w:r>
          </w:p>
        </w:tc>
        <w:tc>
          <w:tcPr>
            <w:tcW w:w="4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shd w:val="clear" w:color="auto" w:fill="DEE0F9"/>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EE0F9"/>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DEE0F9"/>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DEE0F9"/>
            </w:tcBorders>
            <w:vMerge w:val="restart"/>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200" w:type="dxa"/>
            <w:vAlign w:val="bottom"/>
            <w:shd w:val="clear" w:color="auto" w:fill="DEE0F9"/>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DEE0F9"/>
          </w:tcPr>
          <w:p>
            <w:pPr>
              <w:ind w:lef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DEE0F9"/>
            </w:tcBorders>
            <w:shd w:val="clear" w:color="auto" w:fill="DEE0F9"/>
          </w:tcPr>
          <w:p>
            <w:pPr>
              <w:spacing w:after="0"/>
              <w:rPr>
                <w:sz w:val="12"/>
                <w:szCs w:val="12"/>
                <w:color w:val="auto"/>
              </w:rPr>
            </w:pPr>
          </w:p>
        </w:tc>
        <w:tc>
          <w:tcPr>
            <w:tcW w:w="340" w:type="dxa"/>
            <w:vAlign w:val="bottom"/>
            <w:gridSpan w:val="2"/>
            <w:shd w:val="clear" w:color="auto" w:fill="DEE0F9"/>
          </w:tcPr>
          <w:p>
            <w:pPr>
              <w:spacing w:after="0" w:line="149" w:lineRule="exact"/>
              <w:rPr>
                <w:sz w:val="20"/>
                <w:szCs w:val="20"/>
                <w:color w:val="auto"/>
              </w:rPr>
            </w:pPr>
            <w:r>
              <w:rPr>
                <w:rFonts w:ascii="Times New Roman" w:cs="Times New Roman" w:eastAsia="Times New Roman" w:hAnsi="Times New Roman"/>
                <w:sz w:val="17"/>
                <w:szCs w:val="17"/>
                <w:color w:val="auto"/>
              </w:rPr>
              <w:t>​​ ​ ​</w:t>
            </w:r>
          </w:p>
        </w:tc>
        <w:tc>
          <w:tcPr>
            <w:tcW w:w="440" w:type="dxa"/>
            <w:vAlign w:val="bottom"/>
            <w:tcBorders>
              <w:right w:val="single" w:sz="8" w:color="DEE0F9"/>
            </w:tcBorders>
            <w:vMerge w:val="restart"/>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gridSpan w:val="2"/>
            <w:shd w:val="clear" w:color="auto" w:fill="DEE0F9"/>
          </w:tcPr>
          <w:p>
            <w:pPr>
              <w:spacing w:after="0" w:line="149" w:lineRule="exact"/>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vMerge w:val="restart"/>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2/5/2035</w:t>
            </w:r>
          </w:p>
        </w:tc>
        <w:tc>
          <w:tcPr>
            <w:tcW w:w="180" w:type="dxa"/>
            <w:vAlign w:val="bottom"/>
            <w:shd w:val="clear" w:color="auto" w:fill="DEE0F9"/>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EE0F9"/>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right w:val="single" w:sz="8" w:color="DEE0F9"/>
            </w:tcBorders>
            <w:shd w:val="clear" w:color="auto" w:fill="DEE0F9"/>
          </w:tcPr>
          <w:p>
            <w:pPr>
              <w:spacing w:after="0"/>
              <w:rPr>
                <w:sz w:val="12"/>
                <w:szCs w:val="12"/>
                <w:color w:val="auto"/>
              </w:rPr>
            </w:pPr>
          </w:p>
        </w:tc>
        <w:tc>
          <w:tcPr>
            <w:tcW w:w="220" w:type="dxa"/>
            <w:vAlign w:val="bottom"/>
            <w:shd w:val="clear" w:color="auto" w:fill="DEE0F9"/>
          </w:tcPr>
          <w:p>
            <w:pPr>
              <w:jc w:val="right"/>
              <w:ind w:right="92"/>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EE0F9"/>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DEE0F9"/>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shd w:val="clear" w:color="auto" w:fill="DEE0F9"/>
          </w:tcPr>
          <w:p>
            <w:pPr>
              <w:spacing w:after="0"/>
              <w:rPr>
                <w:sz w:val="8"/>
                <w:szCs w:val="8"/>
                <w:color w:val="auto"/>
              </w:rPr>
            </w:pPr>
          </w:p>
        </w:tc>
        <w:tc>
          <w:tcPr>
            <w:tcW w:w="60" w:type="dxa"/>
            <w:vAlign w:val="bottom"/>
            <w:shd w:val="clear" w:color="auto" w:fill="DEE0F9"/>
          </w:tcPr>
          <w:p>
            <w:pPr>
              <w:spacing w:after="0"/>
              <w:rPr>
                <w:sz w:val="8"/>
                <w:szCs w:val="8"/>
                <w:color w:val="auto"/>
              </w:rPr>
            </w:pPr>
          </w:p>
        </w:tc>
        <w:tc>
          <w:tcPr>
            <w:tcW w:w="100" w:type="dxa"/>
            <w:vAlign w:val="bottom"/>
            <w:shd w:val="clear" w:color="auto" w:fill="DEE0F9"/>
          </w:tcPr>
          <w:p>
            <w:pPr>
              <w:spacing w:after="0"/>
              <w:rPr>
                <w:sz w:val="8"/>
                <w:szCs w:val="8"/>
                <w:color w:val="auto"/>
              </w:rPr>
            </w:pPr>
          </w:p>
        </w:tc>
        <w:tc>
          <w:tcPr>
            <w:tcW w:w="120" w:type="dxa"/>
            <w:vAlign w:val="bottom"/>
            <w:shd w:val="clear" w:color="auto" w:fill="DEE0F9"/>
          </w:tcPr>
          <w:p>
            <w:pPr>
              <w:spacing w:after="0"/>
              <w:rPr>
                <w:sz w:val="8"/>
                <w:szCs w:val="8"/>
                <w:color w:val="auto"/>
              </w:rPr>
            </w:pPr>
          </w:p>
        </w:tc>
        <w:tc>
          <w:tcPr>
            <w:tcW w:w="620" w:type="dxa"/>
            <w:vAlign w:val="bottom"/>
            <w:tcBorders>
              <w:right w:val="single" w:sz="8" w:color="DEE0F9"/>
            </w:tcBorders>
            <w:vMerge w:val="continue"/>
            <w:shd w:val="clear" w:color="auto" w:fill="DEE0F9"/>
          </w:tcPr>
          <w:p>
            <w:pPr>
              <w:spacing w:after="0"/>
              <w:rPr>
                <w:sz w:val="8"/>
                <w:szCs w:val="8"/>
                <w:color w:val="auto"/>
              </w:rPr>
            </w:pPr>
          </w:p>
        </w:tc>
        <w:tc>
          <w:tcPr>
            <w:tcW w:w="200" w:type="dxa"/>
            <w:vAlign w:val="bottom"/>
            <w:shd w:val="clear" w:color="auto" w:fill="DEE0F9"/>
          </w:tcPr>
          <w:p>
            <w:pPr>
              <w:spacing w:after="0"/>
              <w:rPr>
                <w:sz w:val="8"/>
                <w:szCs w:val="8"/>
                <w:color w:val="auto"/>
              </w:rPr>
            </w:pPr>
          </w:p>
        </w:tc>
        <w:tc>
          <w:tcPr>
            <w:tcW w:w="860" w:type="dxa"/>
            <w:vAlign w:val="bottom"/>
            <w:tcBorders>
              <w:right w:val="single" w:sz="8" w:color="DEE0F9"/>
            </w:tcBorders>
            <w:gridSpan w:val="2"/>
            <w:shd w:val="clear" w:color="auto" w:fill="DEE0F9"/>
          </w:tcPr>
          <w:p>
            <w:pPr>
              <w:jc w:val="right"/>
              <w:ind w:right="59"/>
              <w:spacing w:after="0" w:line="103" w:lineRule="exact"/>
              <w:rPr>
                <w:sz w:val="20"/>
                <w:szCs w:val="20"/>
                <w:color w:val="auto"/>
              </w:rPr>
            </w:pPr>
            <w:r>
              <w:rPr>
                <w:rFonts w:ascii="Times New Roman" w:cs="Times New Roman" w:eastAsia="Times New Roman" w:hAnsi="Times New Roman"/>
                <w:sz w:val="11"/>
                <w:szCs w:val="11"/>
                <w:color w:val="auto"/>
              </w:rPr>
              <w:t>109,250</w:t>
            </w:r>
          </w:p>
        </w:tc>
        <w:tc>
          <w:tcPr>
            <w:tcW w:w="340" w:type="dxa"/>
            <w:vAlign w:val="bottom"/>
            <w:gridSpan w:val="2"/>
            <w:shd w:val="clear" w:color="auto" w:fill="DEE0F9"/>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right w:val="single" w:sz="8" w:color="DEE0F9"/>
            </w:tcBorders>
            <w:vMerge w:val="continue"/>
            <w:shd w:val="clear" w:color="auto" w:fill="DEE0F9"/>
          </w:tcPr>
          <w:p>
            <w:pPr>
              <w:spacing w:after="0"/>
              <w:rPr>
                <w:sz w:val="8"/>
                <w:szCs w:val="8"/>
                <w:color w:val="auto"/>
              </w:rPr>
            </w:pPr>
          </w:p>
        </w:tc>
        <w:tc>
          <w:tcPr>
            <w:tcW w:w="180" w:type="dxa"/>
            <w:vAlign w:val="bottom"/>
            <w:shd w:val="clear" w:color="auto" w:fill="DEE0F9"/>
          </w:tcPr>
          <w:p>
            <w:pPr>
              <w:spacing w:after="0"/>
              <w:rPr>
                <w:sz w:val="8"/>
                <w:szCs w:val="8"/>
                <w:color w:val="auto"/>
              </w:rPr>
            </w:pPr>
          </w:p>
        </w:tc>
        <w:tc>
          <w:tcPr>
            <w:tcW w:w="60" w:type="dxa"/>
            <w:vAlign w:val="bottom"/>
            <w:shd w:val="clear" w:color="auto" w:fill="DEE0F9"/>
          </w:tcPr>
          <w:p>
            <w:pPr>
              <w:spacing w:after="0"/>
              <w:rPr>
                <w:sz w:val="8"/>
                <w:szCs w:val="8"/>
                <w:color w:val="auto"/>
              </w:rPr>
            </w:pPr>
          </w:p>
        </w:tc>
        <w:tc>
          <w:tcPr>
            <w:tcW w:w="800" w:type="dxa"/>
            <w:vAlign w:val="bottom"/>
            <w:gridSpan w:val="2"/>
            <w:vMerge w:val="continue"/>
            <w:shd w:val="clear" w:color="auto" w:fill="DEE0F9"/>
          </w:tcPr>
          <w:p>
            <w:pPr>
              <w:spacing w:after="0"/>
              <w:rPr>
                <w:sz w:val="8"/>
                <w:szCs w:val="8"/>
                <w:color w:val="auto"/>
              </w:rPr>
            </w:pPr>
          </w:p>
        </w:tc>
        <w:tc>
          <w:tcPr>
            <w:tcW w:w="180" w:type="dxa"/>
            <w:vAlign w:val="bottom"/>
            <w:shd w:val="clear" w:color="auto" w:fill="DEE0F9"/>
          </w:tcPr>
          <w:p>
            <w:pPr>
              <w:spacing w:after="0"/>
              <w:rPr>
                <w:sz w:val="8"/>
                <w:szCs w:val="8"/>
                <w:color w:val="auto"/>
              </w:rPr>
            </w:pPr>
          </w:p>
        </w:tc>
        <w:tc>
          <w:tcPr>
            <w:tcW w:w="80" w:type="dxa"/>
            <w:vAlign w:val="bottom"/>
            <w:shd w:val="clear" w:color="auto" w:fill="DEE0F9"/>
          </w:tcPr>
          <w:p>
            <w:pPr>
              <w:spacing w:after="0"/>
              <w:rPr>
                <w:sz w:val="8"/>
                <w:szCs w:val="8"/>
                <w:color w:val="auto"/>
              </w:rPr>
            </w:pPr>
          </w:p>
        </w:tc>
        <w:tc>
          <w:tcPr>
            <w:tcW w:w="600" w:type="dxa"/>
            <w:vAlign w:val="bottom"/>
            <w:tcBorders>
              <w:right w:val="single" w:sz="8" w:color="DEE0F9"/>
            </w:tcBorders>
            <w:shd w:val="clear" w:color="auto" w:fill="DEE0F9"/>
          </w:tcPr>
          <w:p>
            <w:pPr>
              <w:spacing w:after="0"/>
              <w:rPr>
                <w:sz w:val="8"/>
                <w:szCs w:val="8"/>
                <w:color w:val="auto"/>
              </w:rPr>
            </w:pPr>
          </w:p>
        </w:tc>
        <w:tc>
          <w:tcPr>
            <w:tcW w:w="220" w:type="dxa"/>
            <w:vAlign w:val="bottom"/>
            <w:shd w:val="clear" w:color="auto" w:fill="DEE0F9"/>
          </w:tcPr>
          <w:p>
            <w:pPr>
              <w:spacing w:after="0"/>
              <w:rPr>
                <w:sz w:val="8"/>
                <w:szCs w:val="8"/>
                <w:color w:val="auto"/>
              </w:rPr>
            </w:pPr>
          </w:p>
        </w:tc>
        <w:tc>
          <w:tcPr>
            <w:tcW w:w="100" w:type="dxa"/>
            <w:vAlign w:val="bottom"/>
            <w:shd w:val="clear" w:color="auto" w:fill="DEE0F9"/>
          </w:tcPr>
          <w:p>
            <w:pPr>
              <w:spacing w:after="0"/>
              <w:rPr>
                <w:sz w:val="8"/>
                <w:szCs w:val="8"/>
                <w:color w:val="auto"/>
              </w:rPr>
            </w:pPr>
          </w:p>
        </w:tc>
        <w:tc>
          <w:tcPr>
            <w:tcW w:w="720" w:type="dxa"/>
            <w:vAlign w:val="bottom"/>
            <w:shd w:val="clear" w:color="auto" w:fill="DEE0F9"/>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2/6/2025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(8</w:t>
            </w:r>
          </w:p>
        </w:tc>
        <w:tc>
          <w:tcPr>
            <w:tcW w:w="40" w:type="dxa"/>
            <w:vAlign w:val="bottom"/>
            <w:shd w:val="clear" w:color="auto" w:fill="DEE0F9"/>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shd w:val="clear" w:color="auto" w:fill="DEE0F9"/>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E0F9"/>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E0F9"/>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DEE0F9"/>
            </w:tcBorders>
            <w:shd w:val="clear" w:color="auto" w:fill="DEE0F9"/>
          </w:tcPr>
          <w:p>
            <w:pPr>
              <w:spacing w:after="0"/>
              <w:rPr>
                <w:sz w:val="15"/>
                <w:szCs w:val="15"/>
                <w:color w:val="auto"/>
              </w:rPr>
            </w:pPr>
          </w:p>
        </w:tc>
        <w:tc>
          <w:tcPr>
            <w:tcW w:w="200" w:type="dxa"/>
            <w:vAlign w:val="bottom"/>
            <w:shd w:val="clear" w:color="auto" w:fill="DEE0F9"/>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DEE0F9"/>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DEE0F9"/>
            </w:tcBorders>
            <w:shd w:val="clear" w:color="auto" w:fill="DEE0F9"/>
          </w:tcPr>
          <w:p>
            <w:pPr>
              <w:spacing w:after="0"/>
              <w:rPr>
                <w:sz w:val="15"/>
                <w:szCs w:val="15"/>
                <w:color w:val="auto"/>
              </w:rPr>
            </w:pPr>
          </w:p>
        </w:tc>
        <w:tc>
          <w:tcPr>
            <w:tcW w:w="340" w:type="dxa"/>
            <w:vAlign w:val="bottom"/>
            <w:gridSpan w:val="2"/>
            <w:shd w:val="clear" w:color="auto" w:fill="DEE0F9"/>
          </w:tcPr>
          <w:p>
            <w:pPr>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440" w:type="dxa"/>
            <w:vAlign w:val="bottom"/>
            <w:tcBorders>
              <w:right w:val="single" w:sz="8" w:color="DEE0F9"/>
            </w:tcBorders>
            <w:shd w:val="clear" w:color="auto" w:fill="DEE0F9"/>
          </w:tcPr>
          <w:p>
            <w:pPr>
              <w:spacing w:after="0"/>
              <w:rPr>
                <w:sz w:val="15"/>
                <w:szCs w:val="15"/>
                <w:color w:val="auto"/>
              </w:rPr>
            </w:pPr>
          </w:p>
        </w:tc>
        <w:tc>
          <w:tcPr>
            <w:tcW w:w="240" w:type="dxa"/>
            <w:vAlign w:val="bottom"/>
            <w:gridSpan w:val="2"/>
            <w:shd w:val="clear" w:color="auto" w:fill="DEE0F9"/>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DEE0F9"/>
          </w:tcPr>
          <w:p>
            <w:pPr>
              <w:spacing w:after="0"/>
              <w:rPr>
                <w:sz w:val="15"/>
                <w:szCs w:val="15"/>
                <w:color w:val="auto"/>
              </w:rPr>
            </w:pPr>
          </w:p>
        </w:tc>
        <w:tc>
          <w:tcPr>
            <w:tcW w:w="20" w:type="dxa"/>
            <w:vAlign w:val="bottom"/>
            <w:shd w:val="clear" w:color="auto" w:fill="DEE0F9"/>
          </w:tcPr>
          <w:p>
            <w:pPr>
              <w:spacing w:after="0"/>
              <w:rPr>
                <w:sz w:val="15"/>
                <w:szCs w:val="15"/>
                <w:color w:val="auto"/>
              </w:rPr>
            </w:pPr>
          </w:p>
        </w:tc>
        <w:tc>
          <w:tcPr>
            <w:tcW w:w="180" w:type="dxa"/>
            <w:vAlign w:val="bottom"/>
            <w:shd w:val="clear" w:color="auto" w:fill="DEE0F9"/>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E0F9"/>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DEE0F9"/>
            </w:tcBorders>
            <w:vMerge w:val="restart"/>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20" w:type="dxa"/>
            <w:vAlign w:val="bottom"/>
            <w:shd w:val="clear" w:color="auto" w:fill="DEE0F9"/>
          </w:tcPr>
          <w:p>
            <w:pPr>
              <w:jc w:val="right"/>
              <w:ind w:right="9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E0F9"/>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201,280</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shd w:val="clear" w:color="auto" w:fill="DEE0F9"/>
          </w:tcPr>
          <w:p>
            <w:pPr>
              <w:spacing w:after="0"/>
              <w:rPr>
                <w:sz w:val="16"/>
                <w:szCs w:val="16"/>
                <w:color w:val="auto"/>
              </w:rPr>
            </w:pPr>
          </w:p>
        </w:tc>
        <w:tc>
          <w:tcPr>
            <w:tcW w:w="60" w:type="dxa"/>
            <w:vAlign w:val="bottom"/>
            <w:shd w:val="clear" w:color="auto" w:fill="DEE0F9"/>
          </w:tcPr>
          <w:p>
            <w:pPr>
              <w:spacing w:after="0"/>
              <w:rPr>
                <w:sz w:val="16"/>
                <w:szCs w:val="16"/>
                <w:color w:val="auto"/>
              </w:rPr>
            </w:pPr>
          </w:p>
        </w:tc>
        <w:tc>
          <w:tcPr>
            <w:tcW w:w="100" w:type="dxa"/>
            <w:vAlign w:val="bottom"/>
            <w:shd w:val="clear" w:color="auto" w:fill="DEE0F9"/>
          </w:tcPr>
          <w:p>
            <w:pPr>
              <w:spacing w:after="0"/>
              <w:rPr>
                <w:sz w:val="16"/>
                <w:szCs w:val="16"/>
                <w:color w:val="auto"/>
              </w:rPr>
            </w:pPr>
          </w:p>
        </w:tc>
        <w:tc>
          <w:tcPr>
            <w:tcW w:w="120" w:type="dxa"/>
            <w:vAlign w:val="bottom"/>
            <w:shd w:val="clear" w:color="auto" w:fill="DEE0F9"/>
          </w:tcPr>
          <w:p>
            <w:pPr>
              <w:spacing w:after="0"/>
              <w:rPr>
                <w:sz w:val="16"/>
                <w:szCs w:val="16"/>
                <w:color w:val="auto"/>
              </w:rPr>
            </w:pPr>
          </w:p>
        </w:tc>
        <w:tc>
          <w:tcPr>
            <w:tcW w:w="620" w:type="dxa"/>
            <w:vAlign w:val="bottom"/>
            <w:tcBorders>
              <w:right w:val="single" w:sz="8" w:color="DEE0F9"/>
            </w:tcBorders>
            <w:shd w:val="clear" w:color="auto" w:fill="DEE0F9"/>
          </w:tcPr>
          <w:p>
            <w:pPr>
              <w:spacing w:after="0"/>
              <w:rPr>
                <w:sz w:val="16"/>
                <w:szCs w:val="16"/>
                <w:color w:val="auto"/>
              </w:rPr>
            </w:pPr>
          </w:p>
        </w:tc>
        <w:tc>
          <w:tcPr>
            <w:tcW w:w="200" w:type="dxa"/>
            <w:vAlign w:val="bottom"/>
            <w:shd w:val="clear" w:color="auto" w:fill="DEE0F9"/>
          </w:tcPr>
          <w:p>
            <w:pPr>
              <w:spacing w:after="0"/>
              <w:rPr>
                <w:sz w:val="16"/>
                <w:szCs w:val="16"/>
                <w:color w:val="auto"/>
              </w:rPr>
            </w:pPr>
          </w:p>
        </w:tc>
        <w:tc>
          <w:tcPr>
            <w:tcW w:w="180" w:type="dxa"/>
            <w:vAlign w:val="bottom"/>
            <w:shd w:val="clear" w:color="auto" w:fill="DEE0F9"/>
          </w:tcPr>
          <w:p>
            <w:pPr>
              <w:spacing w:after="0"/>
              <w:rPr>
                <w:sz w:val="16"/>
                <w:szCs w:val="16"/>
                <w:color w:val="auto"/>
              </w:rPr>
            </w:pPr>
          </w:p>
        </w:tc>
        <w:tc>
          <w:tcPr>
            <w:tcW w:w="680" w:type="dxa"/>
            <w:vAlign w:val="bottom"/>
            <w:tcBorders>
              <w:right w:val="single" w:sz="8" w:color="DEE0F9"/>
            </w:tcBorders>
            <w:shd w:val="clear" w:color="auto" w:fill="DEE0F9"/>
          </w:tcPr>
          <w:p>
            <w:pPr>
              <w:spacing w:after="0"/>
              <w:rPr>
                <w:sz w:val="16"/>
                <w:szCs w:val="16"/>
                <w:color w:val="auto"/>
              </w:rPr>
            </w:pPr>
          </w:p>
        </w:tc>
        <w:tc>
          <w:tcPr>
            <w:tcW w:w="200" w:type="dxa"/>
            <w:vAlign w:val="bottom"/>
            <w:shd w:val="clear" w:color="auto" w:fill="DEE0F9"/>
          </w:tcPr>
          <w:p>
            <w:pPr>
              <w:spacing w:after="0"/>
              <w:rPr>
                <w:sz w:val="16"/>
                <w:szCs w:val="16"/>
                <w:color w:val="auto"/>
              </w:rPr>
            </w:pPr>
          </w:p>
        </w:tc>
        <w:tc>
          <w:tcPr>
            <w:tcW w:w="140" w:type="dxa"/>
            <w:vAlign w:val="bottom"/>
            <w:shd w:val="clear" w:color="auto" w:fill="DEE0F9"/>
          </w:tcPr>
          <w:p>
            <w:pPr>
              <w:spacing w:after="0"/>
              <w:rPr>
                <w:sz w:val="16"/>
                <w:szCs w:val="16"/>
                <w:color w:val="auto"/>
              </w:rPr>
            </w:pPr>
          </w:p>
        </w:tc>
        <w:tc>
          <w:tcPr>
            <w:tcW w:w="440" w:type="dxa"/>
            <w:vAlign w:val="bottom"/>
            <w:tcBorders>
              <w:right w:val="single" w:sz="8" w:color="DEE0F9"/>
            </w:tcBorders>
            <w:shd w:val="clear" w:color="auto" w:fill="DEE0F9"/>
          </w:tcPr>
          <w:p>
            <w:pPr>
              <w:spacing w:after="0"/>
              <w:rPr>
                <w:sz w:val="16"/>
                <w:szCs w:val="16"/>
                <w:color w:val="auto"/>
              </w:rPr>
            </w:pPr>
          </w:p>
        </w:tc>
        <w:tc>
          <w:tcPr>
            <w:tcW w:w="180" w:type="dxa"/>
            <w:vAlign w:val="bottom"/>
            <w:shd w:val="clear" w:color="auto" w:fill="DEE0F9"/>
          </w:tcPr>
          <w:p>
            <w:pPr>
              <w:spacing w:after="0"/>
              <w:rPr>
                <w:sz w:val="16"/>
                <w:szCs w:val="16"/>
                <w:color w:val="auto"/>
              </w:rPr>
            </w:pPr>
          </w:p>
        </w:tc>
        <w:tc>
          <w:tcPr>
            <w:tcW w:w="60" w:type="dxa"/>
            <w:vAlign w:val="bottom"/>
            <w:shd w:val="clear" w:color="auto" w:fill="DEE0F9"/>
          </w:tcPr>
          <w:p>
            <w:pPr>
              <w:spacing w:after="0"/>
              <w:rPr>
                <w:sz w:val="16"/>
                <w:szCs w:val="16"/>
                <w:color w:val="auto"/>
              </w:rPr>
            </w:pPr>
          </w:p>
        </w:tc>
        <w:tc>
          <w:tcPr>
            <w:tcW w:w="780" w:type="dxa"/>
            <w:vAlign w:val="bottom"/>
            <w:shd w:val="clear" w:color="auto" w:fill="DEE0F9"/>
          </w:tcPr>
          <w:p>
            <w:pPr>
              <w:spacing w:after="0"/>
              <w:rPr>
                <w:sz w:val="16"/>
                <w:szCs w:val="16"/>
                <w:color w:val="auto"/>
              </w:rPr>
            </w:pPr>
          </w:p>
        </w:tc>
        <w:tc>
          <w:tcPr>
            <w:tcW w:w="20" w:type="dxa"/>
            <w:vAlign w:val="bottom"/>
            <w:shd w:val="clear" w:color="auto" w:fill="DEE0F9"/>
          </w:tcPr>
          <w:p>
            <w:pPr>
              <w:spacing w:after="0"/>
              <w:rPr>
                <w:sz w:val="16"/>
                <w:szCs w:val="16"/>
                <w:color w:val="auto"/>
              </w:rPr>
            </w:pPr>
          </w:p>
        </w:tc>
        <w:tc>
          <w:tcPr>
            <w:tcW w:w="180" w:type="dxa"/>
            <w:vAlign w:val="bottom"/>
            <w:shd w:val="clear" w:color="auto" w:fill="DEE0F9"/>
          </w:tcPr>
          <w:p>
            <w:pPr>
              <w:spacing w:after="0"/>
              <w:rPr>
                <w:sz w:val="16"/>
                <w:szCs w:val="16"/>
                <w:color w:val="auto"/>
              </w:rPr>
            </w:pPr>
          </w:p>
        </w:tc>
        <w:tc>
          <w:tcPr>
            <w:tcW w:w="80" w:type="dxa"/>
            <w:vAlign w:val="bottom"/>
            <w:shd w:val="clear" w:color="auto" w:fill="DEE0F9"/>
          </w:tcPr>
          <w:p>
            <w:pPr>
              <w:spacing w:after="0"/>
              <w:rPr>
                <w:sz w:val="16"/>
                <w:szCs w:val="16"/>
                <w:color w:val="auto"/>
              </w:rPr>
            </w:pPr>
          </w:p>
        </w:tc>
        <w:tc>
          <w:tcPr>
            <w:tcW w:w="600" w:type="dxa"/>
            <w:vAlign w:val="bottom"/>
            <w:tcBorders>
              <w:right w:val="single" w:sz="8" w:color="DEE0F9"/>
            </w:tcBorders>
            <w:vMerge w:val="continue"/>
            <w:shd w:val="clear" w:color="auto" w:fill="DEE0F9"/>
          </w:tcPr>
          <w:p>
            <w:pPr>
              <w:spacing w:after="0"/>
              <w:rPr>
                <w:sz w:val="16"/>
                <w:szCs w:val="16"/>
                <w:color w:val="auto"/>
              </w:rPr>
            </w:pPr>
          </w:p>
        </w:tc>
        <w:tc>
          <w:tcPr>
            <w:tcW w:w="220" w:type="dxa"/>
            <w:vAlign w:val="bottom"/>
            <w:shd w:val="clear" w:color="auto" w:fill="DEE0F9"/>
          </w:tcPr>
          <w:p>
            <w:pPr>
              <w:spacing w:after="0"/>
              <w:rPr>
                <w:sz w:val="16"/>
                <w:szCs w:val="16"/>
                <w:color w:val="auto"/>
              </w:rPr>
            </w:pPr>
          </w:p>
        </w:tc>
        <w:tc>
          <w:tcPr>
            <w:tcW w:w="100" w:type="dxa"/>
            <w:vAlign w:val="bottom"/>
            <w:shd w:val="clear" w:color="auto" w:fill="DEE0F9"/>
          </w:tcPr>
          <w:p>
            <w:pP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continue"/>
            <w:shd w:val="clear" w:color="auto" w:fill="DEE0F9"/>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-2939415</wp:posOffset>
            </wp:positionV>
            <wp:extent cx="5212080" cy="27857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2785745"/>
                    </a:xfrm>
                    <a:prstGeom prst="rect">
                      <a:avLst/>
                    </a:prstGeom>
                    <a:noFill/>
                  </pic:spPr>
                </pic:pic>
              </a:graphicData>
            </a:graphic>
          </wp:anchor>
        </w:drawing>
      </w:r>
    </w:p>
    <w:p>
      <w:pPr>
        <w:spacing w:after="0" w:line="124" w:lineRule="exact"/>
        <w:rPr>
          <w:sz w:val="20"/>
          <w:szCs w:val="20"/>
          <w:color w:val="auto"/>
        </w:rPr>
      </w:pPr>
    </w:p>
    <w:p>
      <w:pPr>
        <w:ind w:left="1620" w:right="77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options, except as noted in the footnotes below, were granted under the 2017 Equity Incentive Plan, or the 2017 Plan or the 2023 Plan (each as defined below), the terms of which are described below under “Executive Compensation — Equity Benefit Plans — 2017 Equity Incentive Plan” and “Executive Compensation — Equity Benefit Plans — 2023 Equity Incentive Plan.”</w:t>
      </w:r>
    </w:p>
    <w:p>
      <w:pPr>
        <w:spacing w:after="0" w:line="58"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otherwise noted, if within the twelve-month period that immediately follows a change of control (as defined in the named executive officer’s employment agreement) the named executive officer’s employment is terminated without cause or the named executive officer resigns for good reason (as defined in the named executive officer’s employment agreement), then 100% of the award shall accelerate and become fully vested as of the termination date.</w:t>
      </w:r>
    </w:p>
    <w:p>
      <w:pPr>
        <w:spacing w:after="0" w:line="61"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IPO, all of the option awards were granted with a per share exercise price equal to the fair market value of one share of our Series A common stock on the date of grant, as determined in good faith by our Board or Compensation Committee. Following our IPO, all of the option awards were granted with a per share exercise price equal to the closing price of our Series A on the date of grant.</w:t>
      </w:r>
    </w:p>
    <w:p>
      <w:pPr>
        <w:spacing w:after="0" w:line="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based on the closing stock price of $5.92 on December 31, 2025.</w:t>
      </w:r>
    </w:p>
    <w:p>
      <w:pPr>
        <w:spacing w:after="0" w:line="103"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the option vest one year after the vesting commencement date and 1/48th of the shares subject to the option vest monthly thereafter subject to the named executive officer’s continued service through each vesting date.</w:t>
      </w:r>
    </w:p>
    <w:p>
      <w:pPr>
        <w:spacing w:after="0" w:line="54" w:lineRule="exact"/>
        <w:rPr>
          <w:rFonts w:ascii="Times New Roman" w:cs="Times New Roman" w:eastAsia="Times New Roman" w:hAnsi="Times New Roman"/>
          <w:sz w:val="18"/>
          <w:szCs w:val="18"/>
          <w:color w:val="auto"/>
        </w:rPr>
      </w:pPr>
    </w:p>
    <w:p>
      <w:pPr>
        <w:ind w:left="1620" w:right="49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beginning July 18, 2024, subject to the named executive officer’s continued service to our Company through each vesting date.</w:t>
      </w:r>
    </w:p>
    <w:p>
      <w:pPr>
        <w:spacing w:after="0" w:line="26"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1/48th of the shares subject to the option vest monthly following the vesting commencement date, subject to the named executive officer’s continued service through each vesting date.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7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the vesting commencement date, subject to the named executive officer’s continued service to our Company through each vesting date.</w:t>
      </w:r>
    </w:p>
    <w:p>
      <w:pPr>
        <w:spacing w:after="0" w:line="40"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the option vest one year after the vesting commencement date and 1/36th of the shares subject to the option vest monthly thereafter subject to the named executive officer’s continued service through each vesting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or the 401(k) Plan, for our employees. The 401(k) Plan is intended to qualify as a tax-qualified plan under Section 401(a) of the Code. The 401(k) Plan covers all employees, including our named executive officers, who meet defined minimum age and service requirements and allows participants to defer a portion of their annual compensation on a pre-tax basis. The 401(k) Plan provides that each eligible participant may contribute up to the lesser of 100% of his or her compensation or the statutory limit. Participant contributions are held and invested, pursuant to the participant’s instructions, by the plan’s trustee. As a tax-qualified retirement plan, contributions to the 401(k) Plan are deductible by us when made, and contributions and earnings on those amounts are not generally taxable to the employees until withdrawn or distributed from the 401(k) Plan. As of January 1, 2025, we match up to 100% of eligible employees contributions up to 4% of eligible compensation under the 401(k) Plan.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do not maintain nonqualified defined contribution plans or other nonqualified deferred compensation plans. Our Board may elect to provide our officers and other employees with nonqualified defined contribution or other nonqualified deferred compensation benefits in the future if it determines that doing so is in our best interests.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4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providing for base salary, cash incentives, equity incentives, severance, and certain other benefits and payments. Below are descriptions of our executive employment agreements and other agreements with our named executive officers.</w:t>
      </w:r>
    </w:p>
    <w:p>
      <w:pPr>
        <w:spacing w:after="0" w:line="32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Mr. Happel. </w:t>
      </w:r>
      <w:r>
        <w:rPr>
          <w:rFonts w:ascii="Times New Roman" w:cs="Times New Roman" w:eastAsia="Times New Roman" w:hAnsi="Times New Roman"/>
          <w:sz w:val="18"/>
          <w:szCs w:val="18"/>
          <w:color w:val="auto"/>
        </w:rPr>
        <w:t>On August 15, 2023, we entered into an employment agreement with David Happel,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effective as of July 19, 2023, and subsequently amended and restated on June 5, 2024 and further amended and restated on June 6, 2025, or the Happel Employment Agreement. The payments and benefits to which Mr. Happel is entitled under the Happel Employment Agreement include: (i) an initial annual base salary that is annually reviewed by the Board and is currently $654,000; (ii) a target annual bonus opportunity equal to 55% of base salary; and (iii) participation in our employee benefit plans that are generally available to our employees.</w:t>
      </w:r>
    </w:p>
    <w:p>
      <w:pPr>
        <w:spacing w:after="0" w:line="32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Pursuant to the Happel Employment Agreement, if we terminate Mr. Happel’s employment without “cause” or Mr. Happel resigns for “good reason” ​(each, as defined in the Happel Employment Agreement) outside of the Change in Control Period (as defined below), Mr. Happel will be entitled to the following severance benefits (in addition to certain accrued but unpaid amounts), subject to his execution of a general release of claims in favor of the Company: (i) a lump sum cash payment equal to 12 months of Mr. Happel’s base salary and (ii) the payment by us of premiums for up to 12 months of Consolidated Omnibus Budget Reconciliation Act of 1985, as amended, or COBRA, coverage substantially similar to that provided under our health plan, provided that Mr. Happel properly elects such coverage. In addition, pursuant to the terms of the Happel Employment Agreement, if we terminate Mr. Happel’s employment without “cause” or</w:t>
      </w:r>
    </w:p>
    <w:p>
      <w:pPr>
        <w:spacing w:after="0" w:line="6"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Mr. Happel resigns for “good reason” during the Change in Control Period, Mr. Happel will receive, subject to his execution of a general release of claims in favor of the Company, (i) the sum of (A) 24 months of his base salary; plus (B) an amount equal to 24 months of his target bonus plus (C) his target bonus for the then-current year, prorated to reflect the number of days Mr. Happel worked at the Company during the applicable year; (ii) if Mr. Happel elects coverage under COBRA (or equivalent state law), we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7" w:lineRule="auto"/>
        <w:rPr>
          <w:sz w:val="20"/>
          <w:szCs w:val="20"/>
          <w:color w:val="auto"/>
        </w:rPr>
      </w:pPr>
      <w:r>
        <w:rPr>
          <w:rFonts w:ascii="Times New Roman" w:cs="Times New Roman" w:eastAsia="Times New Roman" w:hAnsi="Times New Roman"/>
          <w:sz w:val="18"/>
          <w:szCs w:val="18"/>
          <w:color w:val="auto"/>
        </w:rPr>
        <w:t>shall pay to the group health plan provider or COBRA provider of a monthly payment equal to both the monthly employee and the monthly employer contribution that the Company would have made to provide health insurance to Mr. Happel if Mr. Happel had remained employed by the Company until the earliest of</w:t>
      </w:r>
    </w:p>
    <w:p>
      <w:pPr>
        <w:spacing w:after="0" w:line="2" w:lineRule="exact"/>
        <w:rPr>
          <w:sz w:val="20"/>
          <w:szCs w:val="20"/>
          <w:color w:val="auto"/>
        </w:rPr>
      </w:pPr>
    </w:p>
    <w:p>
      <w:pPr>
        <w:ind w:left="1260" w:right="439"/>
        <w:spacing w:after="0"/>
        <w:tabs>
          <w:tab w:leader="none" w:pos="15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24 month anniversary of the date of Mr. Happel’s termination; (B) the date Mr. Happel becomes eligible for group medical plan benefits under any other employer’s group medical plan; or (C) the cessation of Mr. Happel’s health continuation rights under COBRA; (iii) all stock options and other stock-based awards held by Mr. Happel that are subject to vesting shall immediately accelerate and become fully vested and exercisable or nonforfeitable; and (iv) all stock options held by Mr. Happel that are vested as of the date of Mr. Happel’s termination of employment shall remain exercisable until the earlier of the date that is</w:t>
      </w:r>
    </w:p>
    <w:p>
      <w:pPr>
        <w:ind w:left="1260" w:right="4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date of Mr. Happel’s termination or the expiration date of such stock option. The “Change in Control Period” is the date of a “change in control” and ending 12 months following the date of such “change in control.”</w:t>
      </w:r>
    </w:p>
    <w:p>
      <w:pPr>
        <w:spacing w:after="0" w:line="11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Ms. Rozek. </w:t>
      </w:r>
      <w:r>
        <w:rPr>
          <w:rFonts w:ascii="Times New Roman" w:cs="Times New Roman" w:eastAsia="Times New Roman" w:hAnsi="Times New Roman"/>
          <w:sz w:val="18"/>
          <w:szCs w:val="18"/>
          <w:color w:val="auto"/>
        </w:rPr>
        <w:t>On April 4, 2023 we entered into an employment agreement with Elizabeth Rozek.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7, 2023, we entered into an executive employment agreement with Ms. Rozek, which was subsequently amended and restated on June 5, 2024 and further on June 6, 2025, or the Rozek Employment Agreement. The payments and benefits to which Ms. Rozek is entitled under the Rozek Employment Agreement include: (i) an initial annual base salary that is annually reviewed by the Board and is currently $500,000; (ii) a target annual bonus opportunity equal to 40% of base salary; and (iii) participation in our employee benefit plans that are generally available to Company employees.</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Pursuant to the Rozek Employment Agreement, if we terminate Ms. Rozek’s employment without “cause” or Ms. Rozek resigns for “good reason” ​(each, as defined in the Rozek Employment Agreement) outside of the Change in Control Period (as defined below), Ms. Rozek will be entitled to the following severance benefits (in addition to certain accrued but unpaid amounts), subject to her execution of a general release of claims in favor of the Company: (i) a lump sum cash payment equal to nine months of</w:t>
      </w:r>
    </w:p>
    <w:p>
      <w:pPr>
        <w:spacing w:after="0" w:line="3"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Ms. Rozek’s base salary and (ii) the payment by us of premiums for up to nine months of COBRA coverage substantially similar to that provided under our health plan, provided Ms. Rozek properly elects such coverage. In addition, pursuant to the terms of the Rozek Employment Agreement, if we terminate</w:t>
      </w:r>
    </w:p>
    <w:p>
      <w:pPr>
        <w:spacing w:after="0" w:line="1"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Ms. Rozek’s employment without “cause” or Ms. Rozek resigns for “good reason” during the Change in Control Period, Ms. Rozek will receive, subject to her execution of a general release of claims in favor of the Company, (i) the sum of (A) 15 months of her base salary; plus (B) an amount equal to 15 months of her target bonus; plus (C) her target bonus for the then-current year, prorated to reflect the number of days Ms. Rozek worked at the Company during the applicable year; (ii) if Ms. Rozek elects coverage under COBRA, we shall pay to the group health plan provider or COBRA provider a monthly payment equal to both the monthly employee and the monthly employer contribution that the Company would have made to provide health insurance to Ms. Rozek if she had remained employed by the Company until the earliest of</w:t>
      </w:r>
    </w:p>
    <w:p>
      <w:pPr>
        <w:spacing w:after="0" w:line="3" w:lineRule="exact"/>
        <w:rPr>
          <w:sz w:val="20"/>
          <w:szCs w:val="20"/>
          <w:color w:val="auto"/>
        </w:rPr>
      </w:pPr>
    </w:p>
    <w:p>
      <w:pPr>
        <w:ind w:left="1260" w:right="439"/>
        <w:spacing w:after="0" w:line="250" w:lineRule="auto"/>
        <w:tabs>
          <w:tab w:leader="none" w:pos="15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15 month anniversary of the date of Ms. Rozek’s termination; (B) the date Ms. Rozek become eligible for group medical plan benefits under any other employer’s group medical plan; or (C) the cessation of Ms. Rozek’s health continuation rights under COBRA; (iii) all stock options and other stock-based awards held by Ms. Rozek that are subject vesting shall immediately accelerate and become fully vested and exercisable or nonforfeitable; and (iv) all stock options held by Ms. Rozek that are vested as of the date of Ms. Rozek’s termination of employment shall remain exercisable until the earlier of the date that is</w:t>
      </w:r>
    </w:p>
    <w:p>
      <w:pPr>
        <w:spacing w:after="0" w:line="2" w:lineRule="exact"/>
        <w:rPr>
          <w:rFonts w:ascii="Times New Roman" w:cs="Times New Roman" w:eastAsia="Times New Roman" w:hAnsi="Times New Roman"/>
          <w:sz w:val="18"/>
          <w:szCs w:val="18"/>
          <w:color w:val="auto"/>
        </w:rPr>
      </w:pPr>
    </w:p>
    <w:p>
      <w:pPr>
        <w:ind w:left="126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date of Ms. Rozek’s termination or the expiration date of such stock option. The “Change in Control Period” is the date of a “change in control” and ending 12 months following the date of such “change in control.”</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Dr. Martins. </w:t>
      </w:r>
      <w:r>
        <w:rPr>
          <w:rFonts w:ascii="Times New Roman" w:cs="Times New Roman" w:eastAsia="Times New Roman" w:hAnsi="Times New Roman"/>
          <w:sz w:val="18"/>
          <w:szCs w:val="18"/>
          <w:color w:val="auto"/>
        </w:rPr>
        <w:t>On August 15, 2023, we entered into an employment agreement with Eduardo Martins,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effective as of July 19, 2023 and subsequently amended and restated on June 5, 2024 and further amended and restated on June 6, 2025, or the Martins Employment Agreement. The payments and benefits to which Dr. Martins is entitled under the Martins Employment Agreement include: (i) an initial annual base salary that is annually reviewed by the Board and is currently $500,000; (ii) a target annual bonus opportunity equal to 40% of base salary; and (iii) participation in our employee benefit plans that are generally available to Company employees.</w:t>
      </w:r>
    </w:p>
    <w:p>
      <w:pPr>
        <w:spacing w:after="0" w:line="10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Pursuant to the Martins Employment Agreement, if we terminate Dr. Martins’ employment without “cause” or Dr. Martins resigns for “good reason” ​(each, as defined in the Martins Employment Agreement)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outside of the Change in Control Period (as defined below), Dr. Martins will be entitled to the following severance benefits (in addition to certain accrued but unpaid amounts), subject to his execution of a general release of claims in favor of the Company: (i) a lump sum cash payment equal to nine months of</w:t>
      </w:r>
    </w:p>
    <w:p>
      <w:pPr>
        <w:spacing w:after="0" w:line="2"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Dr. Martins’ base salary and (ii) the payment by us of premiums for up to nine months of COBRA coverage substantially similar to that provided under our health plan, provided Dr. Martins properly elects such coverage. In addition, pursuant to the terms of the Martins Employment Agreement, if we terminate</w:t>
      </w: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Dr. Martins’ employment without “cause” or Dr. Martins resigns for “good reason” during the Change in Control Period, Dr. Martins will receive, subject to his execution of a general release of claims in favor of the Company, (i) the sum of (A) 15 months of his base salary; plus (B) an amount equal to 15 months of his target bonus; plus (C) his target bonus for the then-current year, prorated to reflect the number of days</w:t>
      </w:r>
    </w:p>
    <w:p>
      <w:pPr>
        <w:spacing w:after="0" w:line="1" w:lineRule="exact"/>
        <w:rPr>
          <w:sz w:val="20"/>
          <w:szCs w:val="20"/>
          <w:color w:val="auto"/>
        </w:rPr>
      </w:pPr>
    </w:p>
    <w:p>
      <w:pPr>
        <w:ind w:left="1260" w:right="599"/>
        <w:spacing w:after="0" w:line="239" w:lineRule="auto"/>
        <w:rPr>
          <w:sz w:val="20"/>
          <w:szCs w:val="20"/>
          <w:color w:val="auto"/>
        </w:rPr>
      </w:pPr>
      <w:r>
        <w:rPr>
          <w:rFonts w:ascii="Times New Roman" w:cs="Times New Roman" w:eastAsia="Times New Roman" w:hAnsi="Times New Roman"/>
          <w:sz w:val="18"/>
          <w:szCs w:val="18"/>
          <w:color w:val="auto"/>
        </w:rPr>
        <w:t>Dr. Martins worked at the Company during the applicable year; (ii) if Dr. Martins elects coverage under COBRA, we shall pay to the group health plan provider or COBRA provider a monthly payment equal to both the monthly employee and the monthly employer contribution that the Company would have made to provide health insurance to Dr. Martins if he had remained employed by the Company until the earliest of</w:t>
      </w:r>
    </w:p>
    <w:p>
      <w:pPr>
        <w:spacing w:after="0" w:line="1" w:lineRule="exact"/>
        <w:rPr>
          <w:sz w:val="20"/>
          <w:szCs w:val="20"/>
          <w:color w:val="auto"/>
        </w:rPr>
      </w:pPr>
    </w:p>
    <w:p>
      <w:pPr>
        <w:ind w:left="1260" w:right="419"/>
        <w:spacing w:after="0"/>
        <w:tabs>
          <w:tab w:leader="none" w:pos="15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15 month anniversary of the date of Dr. Martins’ termination; (B) the date Dr. Martins become eligible for group medical plan benefits under any other employer’s group medical plan; or (C) the cessation of Dr. Martins’ health continuation rights under COBRA; (iii) all stock options and other stock-based awards held by Dr. Martins that are subject vesting shall immediately accelerate and become fully vested and exercisable or nonforfeitable; and (iv) all stock options held by Dr. Martins that are vested as of the date of Dr. Martins’ termination of employment shall remain exercisable until the earlier of the date that is</w:t>
      </w:r>
    </w:p>
    <w:p>
      <w:pPr>
        <w:ind w:left="1260" w:right="4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date of Dr. Martins’ termination or the expiration date of such stock option. The “Change in Control Period” is the date of a “change in control” and ending 12 months following the date of such “change in control.”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and vision plans, in each case on the same basis as all of our other employees. We pay the premiums for the medical, disability and accidental death and dismemberment insurance for all of our employees, including our named executive officers. We generally do not provide perquisites or personal benefits to our named executive officers.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2023 Stock Option and Incentive Plan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2023 Stock Option and Incentive Plan, or the 2023 Plan, was adopted by our Board in June 2023, approved by our stockholders in July 2023 and became effective in July 2023 in connection with our IPO. The 2023 Plan provides flexibility to our Compensation Committee to use various equity-based incentive awards as compensation tools to motivate our workforce.</w:t>
      </w:r>
    </w:p>
    <w:p>
      <w:pPr>
        <w:spacing w:after="0" w:line="11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We initially reserved 2,585,968 shares of Series A common stock for the issuance of awards under the 2023 Plan, or the Initial Limit. The 2023 Plan provides that the number of shares reserved and available for issuance under the 2023 Plan will automatically increase each January 1 by 4% of the outstanding number of shares of our Series A common stock on the immediately preceding December 31, or such lesser number of shares as determined by our Compensation Committee, or the Annual Increase. The number of shares reserved under the 2023 Plan is subject to adjustment in the event of a stock split, stock dividend or other change in our capitalization.</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shares issuable under the 2023 Plan are and will be authorized but unissued shares or shares that we reacquire. The shares of Series A common stock underlying any awards under the 2023 Plan that are forfeited, cancelled, held back upon exercise or settlement of an award to satisfy the exercise price or tax withholding, reacquired by us prior to vesting, satisfied without the issuance of stock or are otherwise terminated (other than by exercise) will be added back to the shares of Series A common stock available for issuance under the 2023 Plan.</w:t>
      </w:r>
    </w:p>
    <w:p>
      <w:pPr>
        <w:spacing w:after="0" w:line="114"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 maximum aggregate number of shares that may be issued in the form of incentive stock options shall not exceed the Initial Limit, cumulatively increased each January 1 by the lesser of the Annual Increase for such year or shares of Series A common stock.</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grant date fair value of all awards made under the 2023 Plan and all other cash compensation paid by us to any non-employee director in any calendar year for services as a non -employee director shall not exceed $500,000; provided, however, that such amount shall be $ 750,000 for the calendar year in which the applicable non-employee director is initially elected or appointed to the Board.</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2023 Plan is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to impose any limitations and/or vesting conditions on each award and to determine the specific terms and conditions of each award, subject to the provisions of the 2023 Plan. Persons eligible to participate in the 2023 Plan are full or part-time officers, employees, non-employee directors and consultants as selected from time to time by our Compensation Committee in its discretion.</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2023 Plan permits the granting of both options to purchase Series A common stock intended to qualify as incentive stock options under Section 422 of the Code and options that do not so qualify. The option exercise price of each option will be determined by our Compensation Committee but may not be less than 100% of the fair market value of our Series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ten years from the date of grant. Our Compensation Committee will determine at what time or times each option may be exercised.</w:t>
      </w:r>
    </w:p>
    <w:p>
      <w:pPr>
        <w:spacing w:after="0" w:line="11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shares of Series A common stock, or cash, equal to the value of the appreciation in our stock price over the exercise price. The exercise price of each stock appreciation right may not be less than 100% of the fair market value of our Series A common stock on the date of grant unless the stock appreciation right is granted (i) pursuant to a transaction described in, and in a manner consistent with, Section 424(a) of the Code or (ii) to individuals who are not subject to U.S. income tax.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2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Compensation Committee may award restricted shares of Series A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Series A common stock that are free from any restrictions under the 2023 Plan. Unrestricted stock may be granted to participants in recognition of past services or for other valid consideration and may be issued in lieu of cash compensation due to such participant.</w:t>
      </w:r>
    </w:p>
    <w:p>
      <w:pPr>
        <w:spacing w:after="0" w:line="11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Our Compensation Committee may grant dividend equivalent rights to participants that entitle the recipient to receive credits for dividends that would be paid if the recipient had held a specified number of shares of our Series A common stock. Our Compensation Committee may grant cash bonuses under the 2023 Plan to participants, subject to the achievement of certain performance goals.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2023 Plan provides that upon the effectiveness of a “sale event,” as defined in the 2023 Plan, an acquirer or successor entity may assume, continue or substitute outstanding awards under the 2023 Plan. To the extent that awards granted under the 2023 Plan are not assumed or continued or substituted by the successor entity, upon the effective time of the sale event, such awards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individuals holding options and stock appreciation rights (i) may be permitted to exercise such options and stock appreciation rights (to the extent exercisable) within a specified period of time prior to the sale event or (ii) we may make or provide for a payment, in cash or in kind, to participants holding vested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exercisable options and stock appreciation rights equal to the difference between the per share consideration payable to stockholders in the sale event and the exercise price of the options or stock appreciation rights. In addition, we may make or provide for a payment, in cash or in kind, to participants holding other vested awards.</w:t>
      </w:r>
    </w:p>
    <w:p>
      <w:pPr>
        <w:spacing w:after="0" w:line="32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Board may amend or discontinue the 2023 Plan and our Compensation Committee may amend or cancel outstanding awards for purposes of satisfying changes in law or any other lawful purpose but no such action may adversely affect rights under an award without the holder’s consent. Certain amendments to the 2023 Plan require the approval of our stockholders. The administrator of the 2023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2023 Plan after the date that is ten years from the effective date of the 2023 Plan.</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2023 Employee Stock Purchase Plan, as amended and restated, or the ESPP, was adopted by our Board in June 2023, approved by our stockholders in July 2023 and became effective in July 2023 in connection with our IPO. The ESPP is intended to qualify as an “employee stock purchase plan” within the meaning of Section 423 of the Code. The ESPP initially reserved and authorized the issuance of up to a total of 215,497 shares of Series A common stock to participating employees. The ESPP provides that the number of shares reserved and available for issuance will automatically increase each January 1 thereafter through January 1, 2033, by the least of (i) 215,497 shares of Series A common stock, (ii) 1% of the outstanding number of shares of our Series A common stock on the immediately preceding December 31 or</w:t>
      </w:r>
    </w:p>
    <w:p>
      <w:pPr>
        <w:spacing w:after="0" w:line="4" w:lineRule="exact"/>
        <w:rPr>
          <w:sz w:val="20"/>
          <w:szCs w:val="20"/>
          <w:color w:val="auto"/>
        </w:rPr>
      </w:pPr>
    </w:p>
    <w:p>
      <w:pPr>
        <w:ind w:left="1260" w:right="419"/>
        <w:spacing w:after="0" w:line="246"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lesser number of shares of Series A common stock as determined by the administrator of the ESPP. The number of shares reserved under the ESPP is subject to adjustment in the event of a stock split, stock dividend or other change in our capitalization.</w:t>
      </w:r>
    </w:p>
    <w:p>
      <w:pPr>
        <w:spacing w:after="0" w:line="113"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All employees are eligible to participate in the ESPP. However, any employee who owns 5% or more of the total combined voting power or value of all classes of stock will not be eligible to purchase shares under the ESPP.</w:t>
      </w:r>
    </w:p>
    <w:p>
      <w:pPr>
        <w:spacing w:after="0" w:line="10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may make one or more offerings each year to our employees to purchase shares under the ESPP. Offerings will usually begin on each June 1 and December 1 and will continue for six-month periods, referred to as offering periods. Each eligible employee will be able to elect to participate in any offering by submitting an enrollment form at least 15 business days before the relevant offering date.</w:t>
      </w:r>
    </w:p>
    <w:p>
      <w:pPr>
        <w:spacing w:after="0" w:line="11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Each employee who is a participant in the ESPP will be able to purchase shares by authorizing payroll deductions of up to 15% of his or her eligible compensation during an offering period. Unless the participating employee has previously withdrawn from the offering, his or her accumulated payroll deductions will be used to purchase shares of Series A common stock on the last business day of the offering period at a price equal to 85% of the fair market value of the shares on the first business day or the last business day of the offering period, whichever is lower, provided that no more than 3,000 shares of Series A common stock may be purchased by any one employee during any offering period. Under applicable tax rules, an employee may purchase no more than $25,000 worth of shares of Series A common stock, valued at the start of the purchase period, under the ESPP in any calendar year.</w:t>
      </w:r>
    </w:p>
    <w:p>
      <w:pPr>
        <w:spacing w:after="0" w:line="118"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 accumulated payroll deductions of any employee who is not a participant on the last day of an offering period will be refunded. An employee’s rights under the ESPP will terminate upon voluntary withdrawal from the plan or when the employee ceases employment with us for any reason.</w:t>
      </w:r>
    </w:p>
    <w:p>
      <w:pPr>
        <w:spacing w:after="0" w:line="102"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ESPP may be terminated or amended by our Board at any time. An amendment that increases the number of shares of Series A common stock authorized under the ESPP and certain other amendments will require the approval of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Senior Executive Cash Incentive Bonus Plan</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In June 2023, our Board adopted the Senior Executive Cash Incentive Bonus Plan, or the Bonus Plan. The Bonus Plan provides for cash bonus payments based upon company and individual performance targets</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8" w:lineRule="auto"/>
        <w:rPr>
          <w:sz w:val="20"/>
          <w:szCs w:val="20"/>
          <w:color w:val="auto"/>
        </w:rPr>
      </w:pPr>
      <w:r>
        <w:rPr>
          <w:rFonts w:ascii="Times New Roman" w:cs="Times New Roman" w:eastAsia="Times New Roman" w:hAnsi="Times New Roman"/>
          <w:sz w:val="18"/>
          <w:szCs w:val="18"/>
          <w:color w:val="auto"/>
        </w:rPr>
        <w:t>established by our Compensation Committee. The payment targets are related to financial and operational measures or objectives with respect to our company, or one or more of the “Corporate Performance Goals” (as described below), as well as individual performance objectives.</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Compensation Committee establishes the Corporate Performance Goals which may include the following: research, pre-clinical, non-clinical, developmental, publication, clinical or regulatory milestones; scientific or technological advances; research and development or manufacturing capabilities;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Series A common stock; economic value-added; acquisitions, licenses, collaborations or strategic transactions; financing or other capital raising transactions; operating income (loss); return on capital, assets, equity, or investment; shareholder returns; return on sales; total shareholder return; gross or net profit levels; productivity; expense efficiency; margins; operating efficiency; satisfaction of, or other achievement metrics relating to, key third parties; working capital; earnings (loss) per share of our Series A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measured in absolute terms, as compared to any incremental increase, in terms of growth, or as compared to results of a peer group, against the market as a whole, compared to applicable market indices and/or measured on a pre-tax or post-tax basis.</w:t>
      </w:r>
    </w:p>
    <w:p>
      <w:pPr>
        <w:spacing w:after="0" w:line="1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and may also have a minimum and/or maximum bonus opportunity. The bonus formulas are adopted in each performance period by the Compensation Committee and communicated to each executive officer. The Corporate Performance Goals are measured at the end of each performance period after our financial reports have been published. If the Corporate Performance Goals and individual performance objectives are met, payments will be made as soon as practicable following the end of each performance period, but not later than 2 1∕2 months after the end of the fiscal year in which such performance period ends. Subject to the rights contained in any agreement between the executive officer and us, an executive officer shall be required to be employed by us on the bonus payment date to be eligible to receive a bonus payment.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Our Charter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69"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5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9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Charter authorizes us to indemnify our directors, officers, employees and other agents to the fullest extent permitted by Delaware law. Our Bylaws provide that we are required to indemnify our directors and officers to the fullest extent permitted by Delaware law and may indemnify our other employees and agents. Our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agreements to indemnify our directors, executive officers and other employees as determined by the Board. With certain exceptions, these agreements provide for indemnification for related expenses including attorneys’ fees, judgments, fines and settlement amounts incurred by any of these individuals in any action or proceeding.</w:t>
      </w:r>
    </w:p>
    <w:p>
      <w:pPr>
        <w:spacing w:after="0" w:line="323"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We believe that our Charter and Bylaws provisions and indemnification agreements are necessary to attract and retain qualified persons as directors and officers. We also maintain customary directors’ and officers’ liability insurance.</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Charter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maintain a Rule 10b5-1 Policy, under which our directors, executive officers and employees may adopt written plans, known as Rule 10b5 -1 plans, in which they will contract with a broker to buy or sell shares of our Series A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material nonpublic information, subject to compliance with the terms of our insider trading policy.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48"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securities of Sagimet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In addition, with regard to trading in our own securities, it is our policy to comply with the federal securities laws and the applicable exchange listing requirements.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4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Our Board has adopted a Compensation Recovery Policy, or the Clawback Policy, applicable to all officers subject to Section 16 of the Exchange Act. Under the Clawback Policy, we will pursue recoupment of any excess compensation, which was awarded to a covered officer based on financial statements of the Company where such statements are required to be restated. In addition to recoupment of any excess compensation, we will seek to recoup up to 100% of all incentive-based compensation in the case of</w:t>
      </w:r>
    </w:p>
    <w:p>
      <w:pPr>
        <w:spacing w:after="0" w:line="3" w:lineRule="exact"/>
        <w:rPr>
          <w:sz w:val="20"/>
          <w:szCs w:val="20"/>
          <w:color w:val="auto"/>
        </w:rPr>
      </w:pPr>
    </w:p>
    <w:p>
      <w:pPr>
        <w:ind w:left="1260" w:right="459"/>
        <w:spacing w:after="0" w:line="242" w:lineRule="auto"/>
        <w:tabs>
          <w:tab w:leader="none" w:pos="14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knowing or intentional misconduct or a willful, knowing or intentional violation of any of our rules or applicable legal or regulatory requirements or (ii) fraud in the course of a covered employee’s employment. The recovery period for recoupment of any compensation is up to three fiscal years preceding the date on which we determine we are required to prepare and file the restated financial statements. This policy has been adopted to comply with the final guidance under Section 954 of the Dodd-Frank Wall Street Reform and Consumer Protection Act of 2010.</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Practices Regarding Grants of Equity Awards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Compensation Committee and Board generally make equity grants on regularly scheduled dates, which includes grants in February for executive officers and other employees and following our annual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5" w:lineRule="auto"/>
        <w:rPr>
          <w:sz w:val="20"/>
          <w:szCs w:val="20"/>
          <w:color w:val="auto"/>
        </w:rPr>
      </w:pPr>
      <w:r>
        <w:rPr>
          <w:rFonts w:ascii="Times New Roman" w:cs="Times New Roman" w:eastAsia="Times New Roman" w:hAnsi="Times New Roman"/>
          <w:sz w:val="18"/>
          <w:szCs w:val="18"/>
          <w:color w:val="auto"/>
        </w:rPr>
        <w:t>meetings of shareholders for non-employee directors. The Board or Compensation Committee may change any regularly scheduled grant date if the Board or Compensation Committee determines that making grants on such date would not be in the Company’s best interest. Equity grants may also be made on other dates in connection with new hires, promotions or similar events. During 2025, our Compensation Committee did not take into account any material nonpublic information when determining the timing and terms of equity incentive awards and we did not time the disclosure of material nonpublic information for the purpose of affecting the value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no transactions with related persons to be reported in this proxy statement as defined in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Item 404 of Regulation S-K in which:</w:t>
      </w:r>
    </w:p>
    <w:p>
      <w:pPr>
        <w:spacing w:after="0" w:line="99" w:lineRule="exact"/>
        <w:rPr>
          <w:sz w:val="20"/>
          <w:szCs w:val="20"/>
          <w:color w:val="auto"/>
        </w:rPr>
      </w:pPr>
    </w:p>
    <w:p>
      <w:pPr>
        <w:ind w:left="1800" w:right="4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exceeds the lesser of $120,000 or 1% of our total assets at the year-end for the last two completed fiscal years; and</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named executive officers, and granted stock options to our named executive officers and certain of our directors, as more fully described in “Executive Compensation” and “Director Compensation.”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4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Please see “Executive Compensation” and “Director Compensation” for information regarding the compensation of our directors and executive officers.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Our Charter contains provisions limiting the liability of directors and officers, and our Bylaws provide that we will indemnify each of our directors and officers to the fullest extent permitted under Delaware law. Our Charter and Bylaws also provide our Board with discretion to indemnify our employees and other agents when determined appropriate by the Board. In addition, we have entered into indemnification agreements with each of our directors and executive officers, which require us to indemnify them. For more information regarding these agreements, see “Executive Compensation — Limitations on Liability and Indemnification.”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have adopted a written policy that our executive officers, directors, nominees for election as a director, beneficial owners of more than 5% of any series of our Series A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more than 5% of any series of our Series A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aggregate summary information as of December 31, 2025, regarding the Series A common stock that may be issued upon the exercise of options and rights under all of our existing equity compensation plans: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0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c>
          <w:tcPr>
            <w:tcW w:w="20" w:type="dxa"/>
            <w:vAlign w:val="bottom"/>
            <w:tcBorders>
              <w:bottom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(B)</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40" w:type="dxa"/>
            <w:vAlign w:val="bottom"/>
          </w:tcPr>
          <w:p>
            <w:pPr>
              <w:spacing w:after="0"/>
              <w:rPr>
                <w:sz w:val="19"/>
                <w:szCs w:val="19"/>
                <w:color w:val="auto"/>
              </w:rPr>
            </w:pPr>
          </w:p>
        </w:tc>
      </w:tr>
      <w:tr>
        <w:trPr>
          <w:trHeight w:val="17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 to be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Issued Upon Exercise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 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Reflected</w:t>
            </w:r>
          </w:p>
        </w:tc>
        <w:tc>
          <w:tcPr>
            <w:tcW w:w="40" w:type="dxa"/>
            <w:vAlign w:val="bottom"/>
          </w:tcPr>
          <w:p>
            <w:pPr>
              <w:spacing w:after="0"/>
              <w:rPr>
                <w:sz w:val="14"/>
                <w:szCs w:val="14"/>
                <w:color w:val="auto"/>
              </w:rPr>
            </w:pPr>
          </w:p>
        </w:tc>
      </w:tr>
      <w:tr>
        <w:trPr>
          <w:trHeight w:val="214"/>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Borders>
              <w:bottom w:val="single" w:sz="8" w:color="DEE0F9"/>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and Other Rights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DEE0F9"/>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DEE0F9"/>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Column A)</w:t>
            </w:r>
          </w:p>
        </w:tc>
        <w:tc>
          <w:tcPr>
            <w:tcW w:w="40" w:type="dxa"/>
            <w:vAlign w:val="bottom"/>
          </w:tcPr>
          <w:p>
            <w:pPr>
              <w:spacing w:after="0"/>
              <w:rPr>
                <w:sz w:val="18"/>
                <w:szCs w:val="18"/>
                <w:color w:val="auto"/>
              </w:rPr>
            </w:pPr>
          </w:p>
        </w:tc>
      </w:tr>
      <w:tr>
        <w:trPr>
          <w:trHeight w:val="215"/>
        </w:trPr>
        <w:tc>
          <w:tcPr>
            <w:tcW w:w="360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80" w:type="dxa"/>
            <w:vAlign w:val="bottom"/>
            <w:shd w:val="clear" w:color="auto" w:fill="DEE0F9"/>
          </w:tcPr>
          <w:p>
            <w:pPr>
              <w:spacing w:after="0"/>
              <w:rPr>
                <w:sz w:val="18"/>
                <w:szCs w:val="18"/>
                <w:color w:val="auto"/>
              </w:rPr>
            </w:pPr>
          </w:p>
        </w:tc>
        <w:tc>
          <w:tcPr>
            <w:tcW w:w="1600" w:type="dxa"/>
            <w:vAlign w:val="bottom"/>
            <w:shd w:val="clear" w:color="auto" w:fill="DEE0F9"/>
          </w:tcPr>
          <w:p>
            <w:pPr>
              <w:spacing w:after="0"/>
              <w:rPr>
                <w:sz w:val="18"/>
                <w:szCs w:val="18"/>
                <w:color w:val="auto"/>
              </w:rPr>
            </w:pPr>
          </w:p>
        </w:tc>
        <w:tc>
          <w:tcPr>
            <w:tcW w:w="20" w:type="dxa"/>
            <w:vAlign w:val="bottom"/>
            <w:shd w:val="clear" w:color="auto" w:fill="DEE0F9"/>
          </w:tcPr>
          <w:p>
            <w:pPr>
              <w:spacing w:after="0"/>
              <w:rPr>
                <w:sz w:val="18"/>
                <w:szCs w:val="18"/>
                <w:color w:val="auto"/>
              </w:rPr>
            </w:pPr>
          </w:p>
        </w:tc>
        <w:tc>
          <w:tcPr>
            <w:tcW w:w="180" w:type="dxa"/>
            <w:vAlign w:val="bottom"/>
            <w:shd w:val="clear" w:color="auto" w:fill="DEE0F9"/>
          </w:tcPr>
          <w:p>
            <w:pPr>
              <w:spacing w:after="0"/>
              <w:rPr>
                <w:sz w:val="18"/>
                <w:szCs w:val="18"/>
                <w:color w:val="auto"/>
              </w:rPr>
            </w:pPr>
          </w:p>
        </w:tc>
        <w:tc>
          <w:tcPr>
            <w:tcW w:w="1100" w:type="dxa"/>
            <w:vAlign w:val="bottom"/>
            <w:shd w:val="clear" w:color="auto" w:fill="DEE0F9"/>
          </w:tcPr>
          <w:p>
            <w:pPr>
              <w:spacing w:after="0"/>
              <w:rPr>
                <w:sz w:val="18"/>
                <w:szCs w:val="18"/>
                <w:color w:val="auto"/>
              </w:rPr>
            </w:pPr>
          </w:p>
        </w:tc>
        <w:tc>
          <w:tcPr>
            <w:tcW w:w="20" w:type="dxa"/>
            <w:vAlign w:val="bottom"/>
            <w:shd w:val="clear" w:color="auto" w:fill="DEE0F9"/>
          </w:tcPr>
          <w:p>
            <w:pPr>
              <w:spacing w:after="0"/>
              <w:rPr>
                <w:sz w:val="18"/>
                <w:szCs w:val="18"/>
                <w:color w:val="auto"/>
              </w:rPr>
            </w:pPr>
          </w:p>
        </w:tc>
        <w:tc>
          <w:tcPr>
            <w:tcW w:w="220" w:type="dxa"/>
            <w:vAlign w:val="bottom"/>
            <w:shd w:val="clear" w:color="auto" w:fill="DEE0F9"/>
          </w:tcPr>
          <w:p>
            <w:pPr>
              <w:spacing w:after="0"/>
              <w:rPr>
                <w:sz w:val="18"/>
                <w:szCs w:val="18"/>
                <w:color w:val="auto"/>
              </w:rPr>
            </w:pPr>
          </w:p>
        </w:tc>
        <w:tc>
          <w:tcPr>
            <w:tcW w:w="1280" w:type="dxa"/>
            <w:vAlign w:val="bottom"/>
            <w:tcBorders>
              <w:right w:val="single" w:sz="8" w:color="DEE0F9"/>
            </w:tcBorders>
            <w:shd w:val="clear" w:color="auto" w:fill="DEE0F9"/>
          </w:tcPr>
          <w:p>
            <w:pPr>
              <w:spacing w:after="0"/>
              <w:rPr>
                <w:sz w:val="18"/>
                <w:szCs w:val="18"/>
                <w:color w:val="auto"/>
              </w:rPr>
            </w:pPr>
          </w:p>
        </w:tc>
        <w:tc>
          <w:tcPr>
            <w:tcW w:w="40" w:type="dxa"/>
            <w:vAlign w:val="bottom"/>
          </w:tcPr>
          <w:p>
            <w:pPr>
              <w:spacing w:after="0"/>
              <w:rPr>
                <w:sz w:val="18"/>
                <w:szCs w:val="18"/>
                <w:color w:val="auto"/>
              </w:rPr>
            </w:pPr>
          </w:p>
        </w:tc>
      </w:tr>
      <w:tr>
        <w:trPr>
          <w:trHeight w:val="265"/>
        </w:trPr>
        <w:tc>
          <w:tcPr>
            <w:tcW w:w="3600" w:type="dxa"/>
            <w:vAlign w:val="bottom"/>
            <w:shd w:val="clear" w:color="auto" w:fill="DEE0F9"/>
          </w:tcPr>
          <w:p>
            <w:pPr>
              <w:ind w:left="18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3"/>
                <w:szCs w:val="23"/>
                <w:color w:val="auto"/>
                <w:vertAlign w:val="superscript"/>
              </w:rPr>
              <w:t>(1)</w:t>
            </w:r>
          </w:p>
        </w:tc>
        <w:tc>
          <w:tcPr>
            <w:tcW w:w="180" w:type="dxa"/>
            <w:vAlign w:val="bottom"/>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DEE0F9"/>
          </w:tcPr>
          <w:p>
            <w:pPr>
              <w:ind w:left="440"/>
              <w:spacing w:after="0"/>
              <w:rPr>
                <w:sz w:val="20"/>
                <w:szCs w:val="20"/>
                <w:color w:val="auto"/>
              </w:rPr>
            </w:pPr>
            <w:r>
              <w:rPr>
                <w:rFonts w:ascii="Times New Roman" w:cs="Times New Roman" w:eastAsia="Times New Roman" w:hAnsi="Times New Roman"/>
                <w:sz w:val="18"/>
                <w:szCs w:val="18"/>
                <w:color w:val="auto"/>
              </w:rPr>
              <w:t>​5,718,433</w:t>
            </w:r>
            <w:r>
              <w:rPr>
                <w:rFonts w:ascii="Times New Roman" w:cs="Times New Roman" w:eastAsia="Times New Roman" w:hAnsi="Times New Roman"/>
                <w:sz w:val="23"/>
                <w:szCs w:val="23"/>
                <w:color w:val="auto"/>
                <w:vertAlign w:val="superscript"/>
              </w:rPr>
              <w:t>(2)</w:t>
            </w:r>
          </w:p>
        </w:tc>
        <w:tc>
          <w:tcPr>
            <w:tcW w:w="200" w:type="dxa"/>
            <w:vAlign w:val="bottom"/>
            <w:gridSpan w:val="2"/>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DEE0F9"/>
          </w:tcPr>
          <w:p>
            <w:pPr>
              <w:jc w:val="center"/>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DEE0F9"/>
            </w:tcBorders>
            <w:shd w:val="clear" w:color="auto" w:fill="DEE0F9"/>
          </w:tcPr>
          <w:p>
            <w:pPr>
              <w:ind w:left="260"/>
              <w:spacing w:after="0"/>
              <w:rPr>
                <w:sz w:val="20"/>
                <w:szCs w:val="20"/>
                <w:color w:val="auto"/>
              </w:rPr>
            </w:pPr>
            <w:r>
              <w:rPr>
                <w:rFonts w:ascii="Times New Roman" w:cs="Times New Roman" w:eastAsia="Times New Roman" w:hAnsi="Times New Roman"/>
                <w:sz w:val="18"/>
                <w:szCs w:val="18"/>
                <w:color w:val="auto"/>
              </w:rPr>
              <w:t>​2,040,076</w:t>
            </w:r>
            <w:r>
              <w:rPr>
                <w:rFonts w:ascii="Times New Roman" w:cs="Times New Roman" w:eastAsia="Times New Roman" w:hAnsi="Times New Roman"/>
                <w:sz w:val="23"/>
                <w:szCs w:val="23"/>
                <w:color w:val="auto"/>
                <w:vertAlign w:val="superscript"/>
              </w:rPr>
              <w:t>(3)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5"/>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3"/>
                <w:szCs w:val="23"/>
                <w:color w:val="auto"/>
                <w:vertAlign w:val="superscript"/>
              </w:rPr>
              <w:t>(4)</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833,970</w:t>
            </w:r>
            <w:r>
              <w:rPr>
                <w:rFonts w:ascii="Times New Roman" w:cs="Times New Roman" w:eastAsia="Times New Roman" w:hAnsi="Times New Roman"/>
                <w:sz w:val="23"/>
                <w:szCs w:val="23"/>
                <w:color w:val="auto"/>
                <w:vertAlign w:val="superscript"/>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361,217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3600" w:type="dxa"/>
            <w:vAlign w:val="bottom"/>
            <w:shd w:val="clear" w:color="auto" w:fill="DEE0F9"/>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DEE0F9"/>
          </w:tcPr>
          <w:p>
            <w:pPr>
              <w:ind w:left="440"/>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6,552,403</w:t>
            </w:r>
          </w:p>
        </w:tc>
        <w:tc>
          <w:tcPr>
            <w:tcW w:w="200" w:type="dxa"/>
            <w:vAlign w:val="bottom"/>
            <w:gridSpan w:val="2"/>
            <w:shd w:val="clear" w:color="auto" w:fill="DEE0F9"/>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DEE0F9"/>
          </w:tcPr>
          <w:p>
            <w:pPr>
              <w:jc w:val="center"/>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$6.12</w:t>
            </w:r>
          </w:p>
        </w:tc>
        <w:tc>
          <w:tcPr>
            <w:tcW w:w="2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DEE0F9"/>
            </w:tcBorders>
            <w:shd w:val="clear" w:color="auto" w:fill="DEE0F9"/>
          </w:tcPr>
          <w:p>
            <w:pPr>
              <w:ind w:left="260"/>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2,401,293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-822325</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-822325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-822325</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of the 2017 Plan, 2023 Plan and our ESPP.</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(i) 1,395,328 shares remained available for future issuance under our 2023 Plan and (ii) 644,748 shares remained available for future issuance under our ESPP. No shares remained available for future issuance under the 2017 Plan as of December 31, 2025. However, the 2017 Plan continue to govern outstanding equity awards granted thereunder. Our 2023 Plan has an evergreen provision that allows for an annual increase in the number of shares available for issuance under the 2023 Plan to be added on the first day of January in an amount equal to the lesser of (i) 4% of the outstanding number of shares of our Series A common stock on the immediately preceding December 31 or (ii) such number of shares as determined by our Compensation Committee in each case subject to adjustment in the event of a stock split, stock dividend or other change in our capitalization. Our ESPP has an evergreen provision that allows for an annual increase in the number of shares available for issuance under the ESPP to be added on the first day of each January through January 1, 2033, by the lesser of (i) 215,497 shares of our Series A common stock, (ii) 1% of the outstanding number of shares of Series A common stock on the immediately preceding December 31, or (iii) such number of shares of Series A common stock as determined by the administrator of the ESPP. The number of shares reserved under the ESPP is subject to adjustment in the event of a stock split, stock dividend or other change in our capitalization.</w:t>
      </w:r>
    </w:p>
    <w:p>
      <w:pPr>
        <w:spacing w:after="0" w:line="277" w:lineRule="exact"/>
        <w:rPr>
          <w:rFonts w:ascii="Times New Roman" w:cs="Times New Roman" w:eastAsia="Times New Roman" w:hAnsi="Times New Roman"/>
          <w:sz w:val="18"/>
          <w:szCs w:val="18"/>
          <w:color w:val="auto"/>
        </w:rPr>
      </w:pPr>
    </w:p>
    <w:p>
      <w:pPr>
        <w:jc w:val="both"/>
        <w:ind w:left="1620" w:right="659" w:hanging="360"/>
        <w:spacing w:after="0" w:line="26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excludes (i) 1,278,164 shares of Series A common stock that became issuable under the 2023 Plan and (ii) 215,497 that became issuable under the ESPP on January 1, 2026, pursuant to the evergreen provisions of the 2023 Plan and ESPP.</w:t>
      </w:r>
    </w:p>
    <w:p>
      <w:pPr>
        <w:spacing w:after="0" w:line="27"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 pool of 1,300,000 shares of Series A common stock from which grants can be issued with Compensation Committee approval but without stockholder approval as inducement for new employees to accept employment offers from the Company under Nasdaq Listing Rule 5635(c)(4). Inducement grants to new employees are determined on a case-by-case basis. Other than inducement grants, we expect that all equity awards will be made under stockholder-approved plans.</w:t>
      </w:r>
    </w:p>
    <w:p>
      <w:pPr>
        <w:spacing w:after="0" w:line="34" w:lineRule="exact"/>
        <w:rPr>
          <w:rFonts w:ascii="Times New Roman" w:cs="Times New Roman" w:eastAsia="Times New Roman" w:hAnsi="Times New Roman"/>
          <w:sz w:val="18"/>
          <w:szCs w:val="18"/>
          <w:color w:val="auto"/>
        </w:rPr>
      </w:pPr>
    </w:p>
    <w:p>
      <w:pPr>
        <w:ind w:left="1620" w:right="439" w:hanging="360"/>
        <w:spacing w:after="0" w:line="263"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grants of stock options to purchase 833,970 shares of common stock that were “inducement grants” as defined under Nasdaq Listing Rule 5635(c)(4). The terms and conditions of each inducement grant are subject to the terms and conditions of Forms of Award Agreements filed with our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Series A common stock as of April 17, 2026, except to the extent indicated otherwise in the footnotes, by (a) each person known by us to be the beneficial owner of more than 5% of the outstanding shares of Series A common stock, (b) each named executive officer identified in the “Summary Compensation Table” above, (c) each director and nominee for director, and (d) all executive officers and directors as a group.</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0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excludes our non-voting Series B common stock. Entities associated with Baker Brothers Life Sciences, L.P., or Baker Brothers, hold all 567,494 outstanding shares of Series B common stock. Baker Brothers has the right to convert each share of Series B common stock into one share of Series A common stock at such its election, provided that as a result of such conversion, Baker Brothers would not beneficially own in excess of 4.99% of any series of our securities registered under the Exchange Act, except as expressly provided for in Charter.</w:t>
      </w:r>
    </w:p>
    <w:p>
      <w:pPr>
        <w:spacing w:after="0" w:line="120"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percentage of Series A common stock outstanding is based on 32,017,613 shares of Series A common stock outstanding as of April 17, 2026.</w:t>
      </w:r>
    </w:p>
    <w:p>
      <w:pPr>
        <w:spacing w:after="0" w:line="94"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In computing the number of shares beneficially owned by a person and the percentage ownership of such person, we deemed to be outstanding all shares subject to options held by the person that are currently exercisable, or exercisable within 60 days of April 17, 2026. However, except as described above, we did not deem such shares outstanding for the purpose of computing the percentage ownership of any other person.</w:t>
      </w:r>
    </w:p>
    <w:p>
      <w:pPr>
        <w:spacing w:after="0" w:line="32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Sagimet Biosciences Inc., 155 Bovet Road, Suite 303, San Mateo, California 94402.</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SHARES OF SERIES A COMMON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40" w:type="dxa"/>
            <w:vAlign w:val="bottom"/>
            <w:gridSpan w:val="2"/>
            <w:vMerge w:val="continue"/>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David Happel</w:t>
            </w:r>
            <w:r>
              <w:rPr>
                <w:rFonts w:ascii="Times New Roman" w:cs="Times New Roman" w:eastAsia="Times New Roman" w:hAnsi="Times New Roman"/>
                <w:sz w:val="23"/>
                <w:szCs w:val="23"/>
                <w:color w:val="auto"/>
                <w:vertAlign w:val="superscript"/>
              </w:rPr>
              <w:t>(1)</w:t>
            </w:r>
          </w:p>
        </w:tc>
        <w:tc>
          <w:tcPr>
            <w:tcW w:w="1560" w:type="dxa"/>
            <w:vAlign w:val="bottom"/>
            <w:gridSpan w:val="2"/>
            <w:shd w:val="clear" w:color="auto" w:fill="DEE0F9"/>
          </w:tcPr>
          <w:p>
            <w:pPr>
              <w:ind w:left="440"/>
              <w:spacing w:after="0"/>
              <w:rPr>
                <w:sz w:val="20"/>
                <w:szCs w:val="20"/>
                <w:color w:val="auto"/>
              </w:rPr>
            </w:pPr>
            <w:r>
              <w:rPr>
                <w:rFonts w:ascii="Times New Roman" w:cs="Times New Roman" w:eastAsia="Times New Roman" w:hAnsi="Times New Roman"/>
                <w:sz w:val="18"/>
                <w:szCs w:val="18"/>
                <w:color w:val="auto"/>
              </w:rPr>
              <w:t>​1,357,932</w:t>
            </w:r>
          </w:p>
        </w:tc>
        <w:tc>
          <w:tcPr>
            <w:tcW w:w="26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EE0F9"/>
            </w:tcBorders>
            <w:gridSpan w:val="2"/>
            <w:shd w:val="clear" w:color="auto" w:fill="DEE0F9"/>
          </w:tcPr>
          <w:p>
            <w:pPr>
              <w:ind w:left="360"/>
              <w:spacing w:after="0"/>
              <w:rPr>
                <w:sz w:val="20"/>
                <w:szCs w:val="20"/>
                <w:color w:val="auto"/>
              </w:rPr>
            </w:pPr>
            <w:r>
              <w:rPr>
                <w:rFonts w:ascii="Times New Roman" w:cs="Times New Roman" w:eastAsia="Times New Roman" w:hAnsi="Times New Roman"/>
                <w:sz w:val="18"/>
                <w:szCs w:val="18"/>
                <w:color w:val="auto"/>
              </w:rPr>
              <w:t>​ 4.1%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Eduardo Bruno Martins, M.D., D.Phil.</w:t>
            </w:r>
            <w:r>
              <w:rPr>
                <w:rFonts w:ascii="Times New Roman" w:cs="Times New Roman" w:eastAsia="Times New Roman" w:hAnsi="Times New Roman"/>
                <w:sz w:val="23"/>
                <w:szCs w:val="23"/>
                <w:color w:val="auto"/>
                <w:vertAlign w:val="superscript"/>
              </w:rPr>
              <w:t>(2)</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316,572</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1.0%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Elizabeth Rozek, Esq.</w:t>
            </w:r>
            <w:r>
              <w:rPr>
                <w:rFonts w:ascii="Times New Roman" w:cs="Times New Roman" w:eastAsia="Times New Roman" w:hAnsi="Times New Roman"/>
                <w:sz w:val="23"/>
                <w:szCs w:val="23"/>
                <w:color w:val="auto"/>
                <w:vertAlign w:val="superscript"/>
              </w:rPr>
              <w:t>(3)</w:t>
            </w:r>
          </w:p>
        </w:tc>
        <w:tc>
          <w:tcPr>
            <w:tcW w:w="540" w:type="dxa"/>
            <w:vAlign w:val="bottom"/>
            <w:shd w:val="clear" w:color="auto" w:fill="DEE0F9"/>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E0F9"/>
          </w:tcPr>
          <w:p>
            <w:pPr>
              <w:jc w:val="right"/>
              <w:ind w:right="312"/>
              <w:spacing w:after="0"/>
              <w:rPr>
                <w:sz w:val="20"/>
                <w:szCs w:val="20"/>
                <w:color w:val="auto"/>
              </w:rPr>
            </w:pPr>
            <w:r>
              <w:rPr>
                <w:rFonts w:ascii="Times New Roman" w:cs="Times New Roman" w:eastAsia="Times New Roman" w:hAnsi="Times New Roman"/>
                <w:sz w:val="18"/>
                <w:szCs w:val="18"/>
                <w:color w:val="auto"/>
              </w:rPr>
              <w:t>315,045</w:t>
            </w:r>
          </w:p>
        </w:tc>
        <w:tc>
          <w:tcPr>
            <w:tcW w:w="26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EE0F9"/>
            </w:tcBorders>
            <w:gridSpan w:val="2"/>
            <w:shd w:val="clear" w:color="auto" w:fill="DEE0F9"/>
          </w:tcPr>
          <w:p>
            <w:pPr>
              <w:ind w:left="360"/>
              <w:spacing w:after="0"/>
              <w:rPr>
                <w:sz w:val="20"/>
                <w:szCs w:val="20"/>
                <w:color w:val="auto"/>
              </w:rPr>
            </w:pPr>
            <w:r>
              <w:rPr>
                <w:rFonts w:ascii="Times New Roman" w:cs="Times New Roman" w:eastAsia="Times New Roman" w:hAnsi="Times New Roman"/>
                <w:sz w:val="18"/>
                <w:szCs w:val="18"/>
                <w:color w:val="auto"/>
              </w:rPr>
              <w:t>​ 1.0%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Kemble, Ph.D.</w:t>
            </w:r>
            <w:r>
              <w:rPr>
                <w:rFonts w:ascii="Times New Roman" w:cs="Times New Roman" w:eastAsia="Times New Roman" w:hAnsi="Times New Roman"/>
                <w:sz w:val="23"/>
                <w:szCs w:val="23"/>
                <w:color w:val="auto"/>
                <w:vertAlign w:val="superscript"/>
              </w:rPr>
              <w:t>(4)</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997,436</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3.0%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Elizabeth Grammer, Esq.</w:t>
            </w:r>
            <w:r>
              <w:rPr>
                <w:rFonts w:ascii="Times New Roman" w:cs="Times New Roman" w:eastAsia="Times New Roman" w:hAnsi="Times New Roman"/>
                <w:sz w:val="23"/>
                <w:szCs w:val="23"/>
                <w:color w:val="auto"/>
                <w:vertAlign w:val="superscript"/>
              </w:rPr>
              <w:t>(5)</w:t>
            </w:r>
          </w:p>
        </w:tc>
        <w:tc>
          <w:tcPr>
            <w:tcW w:w="540" w:type="dxa"/>
            <w:vAlign w:val="bottom"/>
            <w:shd w:val="clear" w:color="auto" w:fill="DEE0F9"/>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E0F9"/>
          </w:tcPr>
          <w:p>
            <w:pPr>
              <w:jc w:val="right"/>
              <w:ind w:right="312"/>
              <w:spacing w:after="0"/>
              <w:rPr>
                <w:sz w:val="20"/>
                <w:szCs w:val="20"/>
                <w:color w:val="auto"/>
              </w:rPr>
            </w:pPr>
            <w:r>
              <w:rPr>
                <w:rFonts w:ascii="Times New Roman" w:cs="Times New Roman" w:eastAsia="Times New Roman" w:hAnsi="Times New Roman"/>
                <w:sz w:val="18"/>
                <w:szCs w:val="18"/>
                <w:color w:val="auto"/>
              </w:rPr>
              <w:t>133,242</w:t>
            </w:r>
          </w:p>
        </w:tc>
        <w:tc>
          <w:tcPr>
            <w:tcW w:w="26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DEE0F9"/>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DEE0F9"/>
            </w:tcBorders>
            <w:shd w:val="clear" w:color="auto" w:fill="DEE0F9"/>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Hoelscher</w:t>
            </w:r>
            <w:r>
              <w:rPr>
                <w:rFonts w:ascii="Times New Roman" w:cs="Times New Roman" w:eastAsia="Times New Roman" w:hAnsi="Times New Roman"/>
                <w:sz w:val="23"/>
                <w:szCs w:val="23"/>
                <w:color w:val="auto"/>
                <w:vertAlign w:val="superscript"/>
              </w:rPr>
              <w:t>(6)</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94,261</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Jennifer Jarrett</w:t>
            </w:r>
            <w:r>
              <w:rPr>
                <w:rFonts w:ascii="Times New Roman" w:cs="Times New Roman" w:eastAsia="Times New Roman" w:hAnsi="Times New Roman"/>
                <w:sz w:val="23"/>
                <w:szCs w:val="23"/>
                <w:color w:val="auto"/>
                <w:vertAlign w:val="superscript"/>
              </w:rPr>
              <w:t>(7)</w:t>
            </w:r>
          </w:p>
        </w:tc>
        <w:tc>
          <w:tcPr>
            <w:tcW w:w="540" w:type="dxa"/>
            <w:vAlign w:val="bottom"/>
            <w:shd w:val="clear" w:color="auto" w:fill="DEE0F9"/>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E0F9"/>
          </w:tcPr>
          <w:p>
            <w:pPr>
              <w:jc w:val="right"/>
              <w:ind w:right="312"/>
              <w:spacing w:after="0"/>
              <w:rPr>
                <w:sz w:val="20"/>
                <w:szCs w:val="20"/>
                <w:color w:val="auto"/>
              </w:rPr>
            </w:pPr>
            <w:r>
              <w:rPr>
                <w:rFonts w:ascii="Times New Roman" w:cs="Times New Roman" w:eastAsia="Times New Roman" w:hAnsi="Times New Roman"/>
                <w:sz w:val="18"/>
                <w:szCs w:val="18"/>
                <w:color w:val="auto"/>
              </w:rPr>
              <w:t>96,870</w:t>
            </w:r>
          </w:p>
        </w:tc>
        <w:tc>
          <w:tcPr>
            <w:tcW w:w="26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DEE0F9"/>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DEE0F9"/>
            </w:tcBorders>
            <w:shd w:val="clear" w:color="auto" w:fill="DEE0F9"/>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 Seidenberg, M.D.</w:t>
            </w:r>
            <w:r>
              <w:rPr>
                <w:rFonts w:ascii="Times New Roman" w:cs="Times New Roman" w:eastAsia="Times New Roman" w:hAnsi="Times New Roman"/>
                <w:sz w:val="23"/>
                <w:szCs w:val="23"/>
                <w:color w:val="auto"/>
                <w:vertAlign w:val="superscript"/>
              </w:rPr>
              <w:t>(8)</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267,090</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Anne Phillips, M.D.</w:t>
            </w:r>
            <w:r>
              <w:rPr>
                <w:rFonts w:ascii="Times New Roman" w:cs="Times New Roman" w:eastAsia="Times New Roman" w:hAnsi="Times New Roman"/>
                <w:sz w:val="23"/>
                <w:szCs w:val="23"/>
                <w:color w:val="auto"/>
                <w:vertAlign w:val="superscript"/>
              </w:rPr>
              <w:t>(9)</w:t>
            </w:r>
          </w:p>
        </w:tc>
        <w:tc>
          <w:tcPr>
            <w:tcW w:w="540" w:type="dxa"/>
            <w:vAlign w:val="bottom"/>
            <w:shd w:val="clear" w:color="auto" w:fill="DEE0F9"/>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E0F9"/>
          </w:tcPr>
          <w:p>
            <w:pPr>
              <w:jc w:val="right"/>
              <w:ind w:right="312"/>
              <w:spacing w:after="0"/>
              <w:rPr>
                <w:sz w:val="20"/>
                <w:szCs w:val="20"/>
                <w:color w:val="auto"/>
              </w:rPr>
            </w:pPr>
            <w:r>
              <w:rPr>
                <w:rFonts w:ascii="Times New Roman" w:cs="Times New Roman" w:eastAsia="Times New Roman" w:hAnsi="Times New Roman"/>
                <w:sz w:val="18"/>
                <w:szCs w:val="18"/>
                <w:color w:val="auto"/>
              </w:rPr>
              <w:t>96,870</w:t>
            </w:r>
          </w:p>
        </w:tc>
        <w:tc>
          <w:tcPr>
            <w:tcW w:w="26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DEE0F9"/>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DEE0F9"/>
            </w:tcBorders>
            <w:shd w:val="clear" w:color="auto" w:fill="DEE0F9"/>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P. Walbert</w:t>
            </w:r>
            <w:r>
              <w:rPr>
                <w:rFonts w:ascii="Times New Roman" w:cs="Times New Roman" w:eastAsia="Times New Roman" w:hAnsi="Times New Roman"/>
                <w:sz w:val="23"/>
                <w:szCs w:val="23"/>
                <w:color w:val="auto"/>
                <w:vertAlign w:val="superscript"/>
              </w:rPr>
              <w:t>(10)</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96,461</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5340" w:type="dxa"/>
            <w:vAlign w:val="bottom"/>
            <w:gridSpan w:val="2"/>
            <w:shd w:val="clear" w:color="auto" w:fill="DEE0F9"/>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(11 persons)</w:t>
            </w:r>
            <w:r>
              <w:rPr>
                <w:rFonts w:ascii="Times New Roman" w:cs="Times New Roman" w:eastAsia="Times New Roman" w:hAnsi="Times New Roman"/>
                <w:sz w:val="23"/>
                <w:szCs w:val="23"/>
                <w:color w:val="auto"/>
                <w:vertAlign w:val="superscript"/>
              </w:rPr>
              <w:t>(11)</w:t>
            </w:r>
          </w:p>
        </w:tc>
        <w:tc>
          <w:tcPr>
            <w:tcW w:w="1560" w:type="dxa"/>
            <w:vAlign w:val="bottom"/>
            <w:gridSpan w:val="2"/>
            <w:shd w:val="clear" w:color="auto" w:fill="DEE0F9"/>
          </w:tcPr>
          <w:p>
            <w:pPr>
              <w:ind w:left="440"/>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4,109,040</w:t>
            </w:r>
          </w:p>
        </w:tc>
        <w:tc>
          <w:tcPr>
            <w:tcW w:w="260" w:type="dxa"/>
            <w:vAlign w:val="bottom"/>
            <w:gridSpan w:val="2"/>
            <w:shd w:val="clear" w:color="auto" w:fill="DEE0F9"/>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EE0F9"/>
            </w:tcBorders>
            <w:gridSpan w:val="2"/>
            <w:shd w:val="clear" w:color="auto" w:fill="DEE0F9"/>
          </w:tcPr>
          <w:p>
            <w:pPr>
              <w:ind w:left="360"/>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11.5%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04" w:lineRule="exact"/>
        <w:rPr>
          <w:sz w:val="20"/>
          <w:szCs w:val="20"/>
          <w:color w:val="auto"/>
        </w:rPr>
      </w:pPr>
    </w:p>
    <w:p>
      <w:pPr>
        <w:ind w:left="1620" w:right="539" w:hanging="360"/>
        <w:spacing w:after="0" w:line="28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278,166 shares of Series A common stock and 1,079,766 shares of Series A common stock subject to options exercisable within 60 days of April 17, 2026.</w:t>
      </w:r>
    </w:p>
    <w:p>
      <w:pPr>
        <w:spacing w:after="0" w:line="40"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33,011 shares of Series A common stock and 283,561 shares of Series A common stock subject to options exercisable within 60 days of April 17, 2026.</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5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69,894 shares of Series A common stock and 245,151 shares of Series A common stock subject to options exercisable within 60 days of April 17, 2026.</w:t>
      </w:r>
    </w:p>
    <w:p>
      <w:pPr>
        <w:spacing w:after="0" w:line="26"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5,630 shares of Series A common stock and 991,806 shares of Series A common stock subject to options exercisable within 60 days of April 17, 2026.</w:t>
      </w:r>
    </w:p>
    <w:p>
      <w:pPr>
        <w:spacing w:after="0" w:line="13"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133,242 shares of Series A common stock subject to options exercisable within 60 days of April 17, 2026.</w:t>
      </w:r>
    </w:p>
    <w:p>
      <w:pPr>
        <w:spacing w:after="0" w:line="13"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94,261 shares of Series A common stock subject to options exercisable within 60 days of April 17, 2026.</w:t>
      </w:r>
    </w:p>
    <w:p>
      <w:pPr>
        <w:spacing w:after="0" w:line="26"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96,870 shares of Series A common stock subject to options exercisable within 60 days of April 17, 2026.</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84,768 shares of Series A common stock held directly by Beth Seidenberg, M.D.,</w:t>
      </w:r>
    </w:p>
    <w:p>
      <w:pPr>
        <w:spacing w:after="0" w:line="27" w:lineRule="exact"/>
        <w:rPr>
          <w:rFonts w:ascii="Times New Roman" w:cs="Times New Roman" w:eastAsia="Times New Roman" w:hAnsi="Times New Roman"/>
          <w:sz w:val="18"/>
          <w:szCs w:val="18"/>
          <w:color w:val="auto"/>
        </w:rPr>
      </w:pPr>
    </w:p>
    <w:p>
      <w:pPr>
        <w:ind w:left="162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46,875 shares of Series A common stock held by the Seidenberg/Vogel Revocable Trust UA 3/6/03, of which Dr. Seidenberg serves as a trustee and (iii) 135,447 shares of Series A common stock subject to options exercisable within 60 days of April 17, 2026.</w:t>
      </w:r>
    </w:p>
    <w:p>
      <w:pPr>
        <w:spacing w:after="0" w:line="37"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96,870 shares of Series A common stock subject to options exercisable within 60 days of April 17, 2026.</w:t>
      </w:r>
    </w:p>
    <w:p>
      <w:pPr>
        <w:spacing w:after="0" w:line="26" w:lineRule="exact"/>
        <w:rPr>
          <w:rFonts w:ascii="Times New Roman" w:cs="Times New Roman" w:eastAsia="Times New Roman" w:hAnsi="Times New Roman"/>
          <w:sz w:val="18"/>
          <w:szCs w:val="18"/>
          <w:color w:val="auto"/>
        </w:rPr>
      </w:pPr>
    </w:p>
    <w:p>
      <w:pPr>
        <w:ind w:left="1620" w:right="95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2,200 shares of Series A common stock and 94,261 shares of Series A common stock subject to options exercisable within 60 days of April 17, 2026.</w:t>
      </w:r>
    </w:p>
    <w:p>
      <w:pPr>
        <w:spacing w:after="0" w:line="13" w:lineRule="exact"/>
        <w:rPr>
          <w:rFonts w:ascii="Times New Roman" w:cs="Times New Roman" w:eastAsia="Times New Roman" w:hAnsi="Times New Roman"/>
          <w:sz w:val="18"/>
          <w:szCs w:val="18"/>
          <w:color w:val="auto"/>
        </w:rPr>
      </w:pPr>
    </w:p>
    <w:p>
      <w:pPr>
        <w:ind w:left="1620" w:right="59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523,482 shares of Series A common stock beneficially owned by our current executive officers and directors and (ii) 3,585,558 shares subject to options exercisable within 60 days of April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ITEMS TO BE VOTED ON</w:t>
      </w:r>
    </w:p>
    <w:p>
      <w:pPr>
        <w:spacing w:after="0" w:line="225"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color w:val="auto"/>
        </w:rPr>
        <w:t>PROPOSAL 1: ELECTION OF CLASS III DIRECTORS FOR A THREE-YEAR TERM EXPIRING IN 2029</w:t>
      </w:r>
    </w:p>
    <w:p>
      <w:pPr>
        <w:spacing w:after="0" w:line="91"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At the Annual Meeting, our stockholders will vote on the election of four Class III director nominees named in this Proxy Statement as directors, each to serve until our 2029 Annual Meeting and until their respective successors are elected and qualified. Our Board has unanimously nominated Jennifer Jarrett, Anne Phillips, M.D., David Happel and George Kemble, Ph.D. for election to our Board at the Annual Meeting.</w:t>
      </w:r>
    </w:p>
    <w:p>
      <w:pPr>
        <w:spacing w:after="0" w:line="335"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263" w:lineRule="exact"/>
        <w:rPr>
          <w:sz w:val="20"/>
          <w:szCs w:val="20"/>
          <w:color w:val="auto"/>
        </w:rPr>
      </w:pPr>
    </w:p>
    <w:p>
      <w:pPr>
        <w:ind w:left="1780" w:hanging="459"/>
        <w:spacing w:after="0"/>
        <w:tabs>
          <w:tab w:leader="none" w:pos="1780" w:val="left"/>
        </w:tabs>
        <w:numPr>
          <w:ilvl w:val="0"/>
          <w:numId w:val="41"/>
        </w:numPr>
        <w:rPr>
          <w:rFonts w:ascii="Times New Roman" w:cs="Times New Roman" w:eastAsia="Times New Roman" w:hAnsi="Times New Roman"/>
          <w:sz w:val="36"/>
          <w:szCs w:val="36"/>
          <w:color w:val="5B66E5"/>
          <w:vertAlign w:val="superscript"/>
        </w:rPr>
      </w:pPr>
      <w:r>
        <w:rPr>
          <w:rFonts w:ascii="Times New Roman" w:cs="Times New Roman" w:eastAsia="Times New Roman" w:hAnsi="Times New Roman"/>
          <w:sz w:val="18"/>
          <w:szCs w:val="18"/>
          <w:color w:val="5B66E5"/>
        </w:rPr>
        <w:t xml:space="preserve">OUR BOARD UNANIMOUSLY RECOMMENDS STOCKHOLDERS VOTE </w:t>
      </w:r>
      <w:r>
        <w:rPr>
          <w:rFonts w:ascii="Times New Roman" w:cs="Times New Roman" w:eastAsia="Times New Roman" w:hAnsi="Times New Roman"/>
          <w:sz w:val="18"/>
          <w:szCs w:val="18"/>
          <w:b w:val="1"/>
          <w:bCs w:val="1"/>
          <w:color w:val="5B66E5"/>
        </w:rPr>
        <w:t>FOR</w:t>
      </w:r>
      <w:r>
        <w:rPr>
          <w:rFonts w:ascii="Times New Roman" w:cs="Times New Roman" w:eastAsia="Times New Roman" w:hAnsi="Times New Roman"/>
          <w:sz w:val="18"/>
          <w:szCs w:val="18"/>
          <w:color w:val="5B66E5"/>
        </w:rPr>
        <w:t xml:space="preser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539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5397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color w:val="5B66E5"/>
        </w:rPr>
        <w:t>ELECTION OF JENNIFER JARRETT, ANNE PHILLIPS, M.D., DAVID HAPPEL AND</w:t>
      </w:r>
    </w:p>
    <w:p>
      <w:pPr>
        <w:jc w:val="center"/>
        <w:ind w:left="1760"/>
        <w:spacing w:after="0"/>
        <w:rPr>
          <w:sz w:val="20"/>
          <w:szCs w:val="20"/>
          <w:color w:val="auto"/>
        </w:rPr>
      </w:pPr>
      <w:r>
        <w:rPr>
          <w:rFonts w:ascii="Times New Roman" w:cs="Times New Roman" w:eastAsia="Times New Roman" w:hAnsi="Times New Roman"/>
          <w:sz w:val="18"/>
          <w:szCs w:val="18"/>
          <w:color w:val="5B66E5"/>
        </w:rPr>
        <w:t>GEORGE KEMBLE, PH.D.</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shd w:val="clear" w:color="auto" w:fill="52A69B"/>
        </w:rPr>
        <w:t>✓</w:t>
      </w:r>
    </w:p>
    <w:p>
      <w:pPr>
        <w:spacing w:after="0" w:line="365" w:lineRule="exact"/>
        <w:rPr>
          <w:sz w:val="20"/>
          <w:szCs w:val="20"/>
          <w:color w:val="auto"/>
        </w:rPr>
      </w:pPr>
    </w:p>
    <w:p>
      <w:pPr>
        <w:sectPr>
          <w:pgSz w:w="11900" w:h="16838" w:orient="portrait"/>
          <w:cols w:equalWidth="0" w:num="2">
            <w:col w:w="8520" w:space="640"/>
            <w:col w:w="7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179"/>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APPOINTMENT OF KPMG LLP AS OUR INDEPENDENT REGISTERED PUBLIC ACCOUNTING FIRM FOR 2026</w:t>
      </w:r>
    </w:p>
    <w:p>
      <w:pPr>
        <w:spacing w:after="0" w:line="9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has appointed and engaged KPMG to serve as our independent registered public accounting firm to audit the financial statements of the Company for the 2026 fiscal year, and to perform audit-related services. KPMG has served as our independent registered public accounting firm since August 2025.</w:t>
      </w:r>
    </w:p>
    <w:p>
      <w:pPr>
        <w:spacing w:after="0" w:line="11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Stockholders are hereby asked to ratify the Audit Committee’s appointment of KPMG as our independent registered public accounting firm for the 2026 fiscal year.</w:t>
      </w:r>
    </w:p>
    <w:p>
      <w:pPr>
        <w:spacing w:after="0" w:line="81"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auditors. Although stockholder ratification of the appointment of KPMG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KPMG, the Audit Committee will reconsider its selection and whether to engage an alternative independent registered public accounting firm.</w:t>
      </w:r>
    </w:p>
    <w:p>
      <w:pPr>
        <w:spacing w:after="0" w:line="337"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KPMG are expected to virtually attend the Annual Meeting where they will be available to respond to appropriate questions and, if they desire, to make a statement.</w:t>
      </w:r>
    </w:p>
    <w:p>
      <w:pPr>
        <w:spacing w:after="0" w:line="22" w:lineRule="exact"/>
        <w:rPr>
          <w:sz w:val="20"/>
          <w:szCs w:val="20"/>
          <w:color w:val="auto"/>
        </w:rPr>
      </w:pPr>
    </w:p>
    <w:p>
      <w:pPr>
        <w:ind w:left="1660" w:hanging="339"/>
        <w:spacing w:after="0"/>
        <w:tabs>
          <w:tab w:leader="none" w:pos="1660" w:val="left"/>
        </w:tabs>
        <w:numPr>
          <w:ilvl w:val="0"/>
          <w:numId w:val="42"/>
        </w:numPr>
        <w:rPr>
          <w:rFonts w:ascii="Times New Roman" w:cs="Times New Roman" w:eastAsia="Times New Roman" w:hAnsi="Times New Roman"/>
          <w:sz w:val="36"/>
          <w:szCs w:val="36"/>
          <w:color w:val="5B66E5"/>
          <w:vertAlign w:val="superscript"/>
        </w:rPr>
      </w:pPr>
      <w:r>
        <w:rPr>
          <w:rFonts w:ascii="Times New Roman" w:cs="Times New Roman" w:eastAsia="Times New Roman" w:hAnsi="Times New Roman"/>
          <w:sz w:val="18"/>
          <w:szCs w:val="18"/>
          <w:color w:val="5B66E5"/>
        </w:rPr>
        <w:t xml:space="preserve">THE BOARD UNANIMOUSLY RECOMMENDS A VOTE </w:t>
      </w:r>
      <w:r>
        <w:rPr>
          <w:rFonts w:ascii="Times New Roman" w:cs="Times New Roman" w:eastAsia="Times New Roman" w:hAnsi="Times New Roman"/>
          <w:sz w:val="18"/>
          <w:szCs w:val="18"/>
          <w:b w:val="1"/>
          <w:bCs w:val="1"/>
          <w:color w:val="5B66E5"/>
        </w:rPr>
        <w:t>FOR</w:t>
      </w:r>
      <w:r>
        <w:rPr>
          <w:rFonts w:ascii="Times New Roman" w:cs="Times New Roman" w:eastAsia="Times New Roman" w:hAnsi="Times New Roman"/>
          <w:sz w:val="18"/>
          <w:szCs w:val="18"/>
          <w:color w:val="5B66E5"/>
        </w:rPr>
        <w:t xml:space="preserve"> THE RATIFICATION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540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5403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color w:val="5B66E5"/>
        </w:rPr>
        <w:t>KPMG LLP AS INDEPENDENT REGISTERED PUBLIC ACCOUNTING FIRM FOR THE</w:t>
      </w:r>
    </w:p>
    <w:p>
      <w:pPr>
        <w:jc w:val="center"/>
        <w:ind w:left="1620"/>
        <w:spacing w:after="0"/>
        <w:rPr>
          <w:sz w:val="20"/>
          <w:szCs w:val="20"/>
          <w:color w:val="auto"/>
        </w:rPr>
      </w:pPr>
      <w:r>
        <w:rPr>
          <w:rFonts w:ascii="Times New Roman" w:cs="Times New Roman" w:eastAsia="Times New Roman" w:hAnsi="Times New Roman"/>
          <w:sz w:val="18"/>
          <w:szCs w:val="18"/>
          <w:color w:val="5B66E5"/>
        </w:rPr>
        <w:t>COMPANY FOR THE FISCAL YEAR ENDING DECEMBER 31, 2026.</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ind w:right="559"/>
        <w:spacing w:after="0" w:line="161" w:lineRule="exact"/>
        <w:rPr>
          <w:sz w:val="20"/>
          <w:szCs w:val="20"/>
          <w:color w:val="auto"/>
        </w:rPr>
      </w:pPr>
      <w:r>
        <w:rPr>
          <w:rFonts w:ascii="MS PGothic" w:cs="MS PGothic" w:eastAsia="MS PGothic" w:hAnsi="MS PGothic"/>
          <w:sz w:val="16"/>
          <w:szCs w:val="16"/>
          <w:color w:val="auto"/>
          <w:shd w:val="clear" w:color="auto" w:fill="52A69B"/>
        </w:rPr>
        <w:t>✓</w:t>
      </w:r>
    </w:p>
    <w:p>
      <w:pPr>
        <w:spacing w:after="0" w:line="365" w:lineRule="exact"/>
        <w:rPr>
          <w:sz w:val="20"/>
          <w:szCs w:val="20"/>
          <w:color w:val="auto"/>
        </w:rPr>
      </w:pPr>
    </w:p>
    <w:p>
      <w:pPr>
        <w:sectPr>
          <w:pgSz w:w="11900" w:h="16838" w:orient="portrait"/>
          <w:cols w:equalWidth="0" w:num="2">
            <w:col w:w="8660" w:space="500"/>
            <w:col w:w="7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83"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 NEXT YEAR’S ANNUAL MEETING</w:t>
      </w:r>
    </w:p>
    <w:p>
      <w:pPr>
        <w:spacing w:after="0" w:line="91"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Stockholders intending to present a proposal to be considered for inclusion in the proxy statement for our Annual Meeting must submit a proposal that is received at our principal executive offices no later than December 22, 2026, which is the 120th day prior to the first anniversary we made available this Proxy Statement to our stockholders for the Annual Meeting. Proposals must be sent via registered, certified, or express mail (or other means that allows the stockholder to determine when the proposal was received by our Corporate Secretary) to our Corporate Secretary at Sagimet Biosciences Inc., 155 Bovet Road, Suite 303, San Mateo, California 94402.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Stockholders intending to present a proposal or nominate a director for election at our 2027 Annual Meeting of Stockholders, or 2027 Annual Meeting, without having the proposal or nomination included in our Proxy Statement must comply with the requirements set forth in our Bylaws. Our Bylaws require, among other things, that the Corporate Secretary of the Company receive the proposal or nomination no earlier than the close of business on the 120th day, and no later than the close of business on the 90th day, prior to the first anniversary of the preceding year’s annual meeting. Accordingly, for our 2027 Annual Meeting, our Corporate Secretary must receive the proposal or nomination no earlier than February 12, 2027 and no later than the close of business on March 15, 2027. However, if we change the date of the Annual Meeting by more than 30 days before or 60 days after the anniversary of this year’s Annual Meeting, stockholder proposals must be received no later than the close of business on the later of the 90th day prior to the scheduled date of the meeting or the tenth day following the day on which public notice of the meeting was first made. Proposals must contain the information required under our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2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intending to solicit proxies in support of director nominees other than our nominees must provide notice that sets forth the information required by Rule 14a-19 under the Exchange Act in the timeline provided under our Bylaws.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COMMUNICATIONS TO THE BOARD</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Corporate Secretary, Sagimet Biosciences Inc., 155 Bovet Road, Suite 303, San Mateo, California 94402.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AVAILABILITY OF MATERIALS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2025 Annual Report, including the financial statements and financial statement schedules, has been filed with the SEC and provides additional information about us, which is incorporated by reference herein. It is available on the internet at www.sagimet.com and is available in paper form (other than exhibits thereto) by first class mail or other equally prompt means to beneficial owners of our Series A common stock, without charge, upon written request to: Chief Legal &amp; Administrative Officer, Sagimet Biosciences Inc., 155 Bovet Road, Suite 303, San Mateo, California 94402. In addition, it is available to beneficial and record holders of our Series A common stock at www.astproxyportal.com/ast/27458.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6798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86798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95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lvl w:ilvl="1">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lvl w:ilvl="1">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lvl w:ilvl="1">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6"/>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8"/>
    </w:lvl>
  </w:abstractNum>
  <w:abstractNum w:abstractNumId="29">
    <w:nsid w:val="5072367"/>
    <w:multiLevelType w:val="hybridMultilevel"/>
    <w:lvl w:ilvl="0">
      <w:lvlJc w:val="left"/>
      <w:lvlText w:val="(%1)"/>
      <w:numFmt w:val="upperLetter"/>
      <w:start w:val="1"/>
    </w:lvl>
  </w:abstractNum>
  <w:abstractNum w:abstractNumId="30">
    <w:nsid w:val="3804823E"/>
    <w:multiLevelType w:val="hybridMultilevel"/>
    <w:lvl w:ilvl="0">
      <w:lvlJc w:val="left"/>
      <w:lvlText w:val="(%1)"/>
      <w:numFmt w:val="upperLetter"/>
      <w:start w:val="1"/>
    </w:lvl>
  </w:abstractNum>
  <w:abstractNum w:abstractNumId="31">
    <w:nsid w:val="77465F01"/>
    <w:multiLevelType w:val="hybridMultilevel"/>
    <w:lvl w:ilvl="0">
      <w:lvlJc w:val="left"/>
      <w:lvlText w:val="(%1)"/>
      <w:numFmt w:val="upperLetter"/>
      <w:start w:val="1"/>
    </w:lvl>
  </w:abstractNum>
  <w:abstractNum w:abstractNumId="32">
    <w:nsid w:val="7724C67E"/>
    <w:multiLevelType w:val="hybridMultilevel"/>
    <w:lvl w:ilvl="0">
      <w:lvlJc w:val="left"/>
      <w:lvlText w:val="(%1)"/>
      <w:numFmt w:val="lowerRoman"/>
      <w:start w:val="3"/>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Roman"/>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3"/>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2026-04-21T15:26:57Z</dcterms:created>
  <dcterms:modified xsi:type="dcterms:W3CDTF">2026-04-21T15:26:57Z</dcterms:modified>
</cp:coreProperties>
</file>